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2C" w:rsidRDefault="002F522C">
      <w:pPr>
        <w:spacing w:line="580" w:lineRule="exact"/>
        <w:contextualSpacing/>
        <w:jc w:val="center"/>
        <w:rPr>
          <w:rFonts w:ascii="黑体" w:eastAsia="黑体" w:hAnsi="仿宋_GB2312" w:cs="仿宋_GB2312"/>
          <w:sz w:val="32"/>
          <w:szCs w:val="32"/>
        </w:rPr>
      </w:pPr>
      <w:bookmarkStart w:id="0" w:name="_GoBack"/>
      <w:bookmarkEnd w:id="0"/>
    </w:p>
    <w:p w:rsidR="002F522C" w:rsidRDefault="002F522C">
      <w:pPr>
        <w:spacing w:line="580" w:lineRule="exact"/>
        <w:contextualSpacing/>
        <w:jc w:val="center"/>
        <w:rPr>
          <w:rFonts w:ascii="仿宋_GB2312" w:eastAsia="仿宋_GB2312" w:hAnsi="仿宋_GB2312" w:cs="仿宋_GB2312"/>
          <w:sz w:val="32"/>
          <w:szCs w:val="32"/>
        </w:rPr>
      </w:pPr>
    </w:p>
    <w:p w:rsidR="002F522C" w:rsidRDefault="00C57C51">
      <w:pPr>
        <w:contextualSpacing/>
        <w:jc w:val="center"/>
        <w:rPr>
          <w:rFonts w:ascii="方正小标宋简体" w:eastAsia="方正小标宋简体" w:hAnsi="Times New Roman"/>
          <w:color w:val="000000" w:themeColor="text1"/>
          <w:sz w:val="44"/>
          <w:szCs w:val="44"/>
        </w:rPr>
      </w:pPr>
      <w:r>
        <w:rPr>
          <w:rFonts w:ascii="方正小标宋简体" w:eastAsia="方正小标宋简体" w:hAnsi="Times New Roman" w:hint="eastAsia"/>
          <w:color w:val="000000" w:themeColor="text1"/>
          <w:sz w:val="44"/>
          <w:szCs w:val="44"/>
        </w:rPr>
        <w:t>弋江区政府投资项目管理办法</w:t>
      </w:r>
      <w:r w:rsidR="009B4A52">
        <w:rPr>
          <w:rFonts w:ascii="方正小标宋简体" w:eastAsia="方正小标宋简体" w:hAnsi="Times New Roman" w:hint="eastAsia"/>
          <w:color w:val="000000" w:themeColor="text1"/>
          <w:sz w:val="44"/>
          <w:szCs w:val="44"/>
        </w:rPr>
        <w:t>（</w:t>
      </w:r>
      <w:r w:rsidR="008E555F">
        <w:rPr>
          <w:rFonts w:ascii="方正小标宋简体" w:eastAsia="方正小标宋简体" w:hAnsi="Times New Roman" w:hint="eastAsia"/>
          <w:color w:val="000000" w:themeColor="text1"/>
          <w:sz w:val="44"/>
          <w:szCs w:val="44"/>
        </w:rPr>
        <w:t>修改稿</w:t>
      </w:r>
      <w:r w:rsidR="009B4A52">
        <w:rPr>
          <w:rFonts w:ascii="方正小标宋简体" w:eastAsia="方正小标宋简体" w:hAnsi="Times New Roman" w:hint="eastAsia"/>
          <w:color w:val="000000" w:themeColor="text1"/>
          <w:sz w:val="44"/>
          <w:szCs w:val="44"/>
        </w:rPr>
        <w:t>）</w:t>
      </w:r>
    </w:p>
    <w:p w:rsidR="002F522C" w:rsidRDefault="002F522C">
      <w:pPr>
        <w:contextualSpacing/>
        <w:jc w:val="center"/>
        <w:rPr>
          <w:rFonts w:ascii="Times New Roman" w:eastAsia="仿宋_GB2312" w:hAnsi="Times New Roman"/>
          <w:color w:val="000000" w:themeColor="text1"/>
          <w:sz w:val="32"/>
          <w:szCs w:val="32"/>
        </w:rPr>
      </w:pPr>
    </w:p>
    <w:p w:rsidR="002F522C" w:rsidRDefault="00C57C51">
      <w:pPr>
        <w:ind w:firstLineChars="200" w:firstLine="640"/>
        <w:contextualSpacing/>
        <w:rPr>
          <w:rFonts w:ascii="Times New Roman" w:eastAsia="仿宋_GB2312" w:hAnsi="Times New Roman"/>
          <w:color w:val="000000" w:themeColor="text1"/>
          <w:sz w:val="32"/>
          <w:szCs w:val="32"/>
        </w:rPr>
      </w:pPr>
      <w:bookmarkStart w:id="1" w:name="0"/>
      <w:bookmarkEnd w:id="1"/>
      <w:r>
        <w:rPr>
          <w:rFonts w:ascii="Times New Roman" w:eastAsia="仿宋_GB2312" w:hAnsi="Times New Roman"/>
          <w:color w:val="000000" w:themeColor="text1"/>
          <w:sz w:val="32"/>
          <w:szCs w:val="32"/>
        </w:rPr>
        <w:t>为规范政府投资项目管理行为，合理使用政府资金，建立健全科学的政府投资决策程序，提高投资效益，完善投资责任制和风险约束机制，根据《芜湖市政府投资项目管理办法》（芜政</w:t>
      </w:r>
      <w:r>
        <w:rPr>
          <w:rFonts w:ascii="Times New Roman" w:eastAsia="仿宋_GB2312" w:hAnsi="Times New Roman"/>
          <w:sz w:val="32"/>
          <w:szCs w:val="32"/>
        </w:rPr>
        <w:t>〔</w:t>
      </w:r>
      <w:r>
        <w:rPr>
          <w:rFonts w:ascii="Times New Roman" w:eastAsia="仿宋_GB2312" w:hAnsi="Times New Roman"/>
          <w:sz w:val="32"/>
          <w:szCs w:val="32"/>
        </w:rPr>
        <w:t>2006</w:t>
      </w:r>
      <w:r>
        <w:rPr>
          <w:rFonts w:ascii="Times New Roman" w:eastAsia="仿宋_GB2312" w:hAnsi="Times New Roman"/>
          <w:sz w:val="32"/>
          <w:szCs w:val="32"/>
        </w:rPr>
        <w:t>〕</w:t>
      </w:r>
      <w:r>
        <w:rPr>
          <w:rFonts w:ascii="Times New Roman" w:eastAsia="仿宋_GB2312" w:hAnsi="Times New Roman"/>
          <w:color w:val="000000" w:themeColor="text1"/>
          <w:sz w:val="32"/>
          <w:szCs w:val="32"/>
        </w:rPr>
        <w:t>56</w:t>
      </w:r>
      <w:r>
        <w:rPr>
          <w:rFonts w:ascii="Times New Roman" w:eastAsia="仿宋_GB2312" w:hAnsi="Times New Roman"/>
          <w:color w:val="000000" w:themeColor="text1"/>
          <w:sz w:val="32"/>
          <w:szCs w:val="32"/>
        </w:rPr>
        <w:t>号）规定，结合我区实际，制定本办法。</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第一条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本办法所称政府投资项目，主要是指使用区本级财政资金（包括综合预算资金、各类专项建设资金）、区政府统筹资金和融资等投资的，市场不能有效配置资源的公共基础设施项目（含</w:t>
      </w:r>
      <w:r>
        <w:rPr>
          <w:rFonts w:ascii="Times New Roman" w:eastAsia="仿宋_GB2312" w:hAnsi="Times New Roman"/>
          <w:color w:val="000000" w:themeColor="text1"/>
          <w:sz w:val="32"/>
          <w:szCs w:val="32"/>
        </w:rPr>
        <w:t>PPP</w:t>
      </w:r>
      <w:r>
        <w:rPr>
          <w:rFonts w:ascii="Times New Roman" w:eastAsia="仿宋_GB2312" w:hAnsi="Times New Roman"/>
          <w:color w:val="000000" w:themeColor="text1"/>
          <w:sz w:val="32"/>
          <w:szCs w:val="32"/>
        </w:rPr>
        <w:t>项目）、公用事业项目（含政府购买服务）、经营性投资项目。</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第二条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政府投资项目根据资金来源、项目性质和调控需要，可分别采取直接投资、资本金注入、投资补助、转贷和贷款贴息等方式。以资本金注入方式投入的，应当确定出资人代表。</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第三条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政府投资项目实行项目储备和年度计划制度。</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第四条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申请列入区级项目储备库的项目需具备以下条件：</w:t>
      </w:r>
    </w:p>
    <w:p w:rsidR="002F522C" w:rsidRDefault="00C57C51">
      <w:pPr>
        <w:ind w:firstLineChars="200" w:firstLine="640"/>
        <w:contextualSpacing/>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（一）确属城市建设和社会事业发展的需要；</w:t>
      </w:r>
    </w:p>
    <w:p w:rsidR="002F522C" w:rsidRDefault="00C57C51">
      <w:pPr>
        <w:ind w:firstLineChars="200" w:firstLine="640"/>
        <w:contextualSpacing/>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（二）项目前期工作达到一定深度；</w:t>
      </w:r>
    </w:p>
    <w:p w:rsidR="002F522C" w:rsidRDefault="00C57C51">
      <w:pPr>
        <w:ind w:firstLineChars="200" w:firstLine="640"/>
        <w:contextualSpacing/>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（三）有较明确的建设规模、拟建地点和投资估算。</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第五条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列入区政府年度投资计划的项目需具备以下条件：</w:t>
      </w:r>
    </w:p>
    <w:p w:rsidR="002F522C" w:rsidRDefault="00C57C51">
      <w:pPr>
        <w:ind w:firstLineChars="200" w:firstLine="640"/>
        <w:contextualSpacing/>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（一）上年度政府投资续建项目；</w:t>
      </w:r>
    </w:p>
    <w:p w:rsidR="002F522C" w:rsidRDefault="00C57C51">
      <w:pPr>
        <w:ind w:firstLineChars="200" w:firstLine="640"/>
        <w:contextualSpacing/>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（二）已列入区政府投资项目储备库或全区中长期规划中急需建设的新项目；</w:t>
      </w:r>
    </w:p>
    <w:p w:rsidR="002F522C" w:rsidRDefault="00C57C51">
      <w:pPr>
        <w:ind w:firstLineChars="200" w:firstLine="640"/>
        <w:contextualSpacing/>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（三）新开工项目</w:t>
      </w:r>
      <w:r w:rsidR="004D1A5E">
        <w:rPr>
          <w:rFonts w:ascii="Times New Roman" w:eastAsia="仿宋_GB2312" w:hAnsi="Times New Roman" w:hint="eastAsia"/>
          <w:color w:val="000000" w:themeColor="text1"/>
          <w:sz w:val="32"/>
          <w:szCs w:val="32"/>
        </w:rPr>
        <w:t>应当</w:t>
      </w:r>
      <w:r>
        <w:rPr>
          <w:rFonts w:ascii="Times New Roman" w:eastAsia="仿宋_GB2312" w:hAnsi="Times New Roman"/>
          <w:color w:val="000000" w:themeColor="text1"/>
          <w:sz w:val="32"/>
          <w:szCs w:val="32"/>
        </w:rPr>
        <w:t>项目法人已明确，资金已落实，征地拆迁已基本完成，具备开工条件的项目。</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第六条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政府投资项目应当按照年度项目投资计划组织实施。区发改委于每年</w:t>
      </w:r>
      <w:r>
        <w:rPr>
          <w:rFonts w:ascii="Times New Roman" w:eastAsia="仿宋_GB2312" w:hAnsi="Times New Roman"/>
          <w:color w:val="000000" w:themeColor="text1"/>
          <w:sz w:val="32"/>
          <w:szCs w:val="32"/>
        </w:rPr>
        <w:t>11</w:t>
      </w:r>
      <w:r>
        <w:rPr>
          <w:rFonts w:ascii="Times New Roman" w:eastAsia="仿宋_GB2312" w:hAnsi="Times New Roman"/>
          <w:color w:val="000000" w:themeColor="text1"/>
          <w:sz w:val="32"/>
          <w:szCs w:val="32"/>
        </w:rPr>
        <w:t>月，根据各部门提出的下一年度政府投资项目计划，会同区财政、国土、规划、新马公司等部门，本着</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保重点、保续建、保竣工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和</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量力平衡、滚动发展、规模控制、统筹兼顾</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的原则，提出年度实施的项目投资计划。年度项目投资计划需报区政府常务会议、区委常委会审议，批准后向区人大报告并向区政协通报。</w:t>
      </w:r>
    </w:p>
    <w:p w:rsidR="009E47BA" w:rsidRPr="009E47BA" w:rsidRDefault="009E47BA" w:rsidP="00B5489E">
      <w:pPr>
        <w:ind w:firstLineChars="200" w:firstLine="643"/>
        <w:contextualSpacing/>
        <w:rPr>
          <w:rStyle w:val="f-article-txt-fb"/>
          <w:rFonts w:ascii="Times New Roman" w:eastAsia="仿宋_GB2312" w:hAnsi="Times New Roman"/>
          <w:bCs/>
          <w:color w:val="000000" w:themeColor="text1"/>
          <w:sz w:val="32"/>
          <w:szCs w:val="32"/>
        </w:rPr>
      </w:pPr>
      <w:r w:rsidRPr="00B5489E">
        <w:rPr>
          <w:rStyle w:val="f-article-txt-fb"/>
          <w:rFonts w:ascii="Times New Roman" w:eastAsia="仿宋_GB2312" w:hAnsi="Times New Roman" w:hint="eastAsia"/>
          <w:b/>
          <w:bCs/>
          <w:color w:val="000000" w:themeColor="text1"/>
          <w:sz w:val="32"/>
          <w:szCs w:val="32"/>
        </w:rPr>
        <w:t>第七条</w:t>
      </w:r>
      <w:r w:rsidRPr="009E47BA">
        <w:rPr>
          <w:rStyle w:val="f-article-txt-fb"/>
          <w:rFonts w:ascii="Times New Roman" w:eastAsia="仿宋_GB2312" w:hAnsi="Times New Roman" w:hint="eastAsia"/>
          <w:bCs/>
          <w:color w:val="000000" w:themeColor="text1"/>
          <w:sz w:val="32"/>
          <w:szCs w:val="32"/>
        </w:rPr>
        <w:t xml:space="preserve"> </w:t>
      </w:r>
      <w:r w:rsidRPr="009E47BA">
        <w:rPr>
          <w:rStyle w:val="f-article-txt-fb"/>
          <w:rFonts w:ascii="Times New Roman" w:eastAsia="仿宋_GB2312" w:hAnsi="Times New Roman" w:hint="eastAsia"/>
          <w:bCs/>
          <w:color w:val="000000" w:themeColor="text1"/>
          <w:sz w:val="32"/>
          <w:szCs w:val="32"/>
        </w:rPr>
        <w:t>年度项目投资计划一经批准，原则上不得变更。在计划执行过程中，确需调整年度政府投资额或增减新开工项目的，区发改委应会同区财政局等有关部门在</w:t>
      </w:r>
      <w:r w:rsidRPr="009E47BA">
        <w:rPr>
          <w:rStyle w:val="f-article-txt-fb"/>
          <w:rFonts w:ascii="Times New Roman" w:eastAsia="仿宋_GB2312" w:hAnsi="Times New Roman" w:hint="eastAsia"/>
          <w:bCs/>
          <w:color w:val="000000" w:themeColor="text1"/>
          <w:sz w:val="32"/>
          <w:szCs w:val="32"/>
        </w:rPr>
        <w:t>15</w:t>
      </w:r>
      <w:r w:rsidR="00DD26F3">
        <w:rPr>
          <w:rStyle w:val="f-article-txt-fb"/>
          <w:rFonts w:ascii="Times New Roman" w:eastAsia="仿宋_GB2312" w:hAnsi="Times New Roman" w:hint="eastAsia"/>
          <w:bCs/>
          <w:color w:val="000000" w:themeColor="text1"/>
          <w:sz w:val="32"/>
          <w:szCs w:val="32"/>
        </w:rPr>
        <w:t>个工作日内编制调整方案。</w:t>
      </w:r>
      <w:r w:rsidRPr="009E47BA">
        <w:rPr>
          <w:rStyle w:val="f-article-txt-fb"/>
          <w:rFonts w:ascii="Times New Roman" w:eastAsia="仿宋_GB2312" w:hAnsi="Times New Roman" w:hint="eastAsia"/>
          <w:bCs/>
          <w:color w:val="000000" w:themeColor="text1"/>
          <w:sz w:val="32"/>
          <w:szCs w:val="32"/>
        </w:rPr>
        <w:t>新增投资</w:t>
      </w:r>
      <w:r w:rsidRPr="009E47BA">
        <w:rPr>
          <w:rStyle w:val="f-article-txt-fb"/>
          <w:rFonts w:ascii="Times New Roman" w:eastAsia="仿宋_GB2312" w:hAnsi="Times New Roman" w:hint="eastAsia"/>
          <w:bCs/>
          <w:color w:val="000000" w:themeColor="text1"/>
          <w:sz w:val="32"/>
          <w:szCs w:val="32"/>
        </w:rPr>
        <w:t>100</w:t>
      </w:r>
      <w:r w:rsidR="00C15DD1">
        <w:rPr>
          <w:rStyle w:val="f-article-txt-fb"/>
          <w:rFonts w:ascii="Times New Roman" w:eastAsia="仿宋_GB2312" w:hAnsi="Times New Roman" w:hint="eastAsia"/>
          <w:bCs/>
          <w:color w:val="000000" w:themeColor="text1"/>
          <w:sz w:val="32"/>
          <w:szCs w:val="32"/>
        </w:rPr>
        <w:t>万元以下报分管区长审批，审批后纳入到年度计划中；</w:t>
      </w:r>
      <w:r w:rsidRPr="009E47BA">
        <w:rPr>
          <w:rStyle w:val="f-article-txt-fb"/>
          <w:rFonts w:ascii="Times New Roman" w:eastAsia="仿宋_GB2312" w:hAnsi="Times New Roman" w:hint="eastAsia"/>
          <w:bCs/>
          <w:color w:val="000000" w:themeColor="text1"/>
          <w:sz w:val="32"/>
          <w:szCs w:val="32"/>
        </w:rPr>
        <w:t>投资</w:t>
      </w:r>
      <w:r w:rsidRPr="009E47BA">
        <w:rPr>
          <w:rStyle w:val="f-article-txt-fb"/>
          <w:rFonts w:ascii="Times New Roman" w:eastAsia="仿宋_GB2312" w:hAnsi="Times New Roman" w:hint="eastAsia"/>
          <w:bCs/>
          <w:color w:val="000000" w:themeColor="text1"/>
          <w:sz w:val="32"/>
          <w:szCs w:val="32"/>
        </w:rPr>
        <w:t>100</w:t>
      </w:r>
      <w:r w:rsidRPr="009E47BA">
        <w:rPr>
          <w:rStyle w:val="f-article-txt-fb"/>
          <w:rFonts w:ascii="Times New Roman" w:eastAsia="仿宋_GB2312" w:hAnsi="Times New Roman" w:hint="eastAsia"/>
          <w:bCs/>
          <w:color w:val="000000" w:themeColor="text1"/>
          <w:sz w:val="32"/>
          <w:szCs w:val="32"/>
        </w:rPr>
        <w:t>万元以上（含</w:t>
      </w:r>
      <w:r w:rsidRPr="009E47BA">
        <w:rPr>
          <w:rStyle w:val="f-article-txt-fb"/>
          <w:rFonts w:ascii="Times New Roman" w:eastAsia="仿宋_GB2312" w:hAnsi="Times New Roman" w:hint="eastAsia"/>
          <w:bCs/>
          <w:color w:val="000000" w:themeColor="text1"/>
          <w:sz w:val="32"/>
          <w:szCs w:val="32"/>
        </w:rPr>
        <w:t>100</w:t>
      </w:r>
      <w:r w:rsidRPr="009E47BA">
        <w:rPr>
          <w:rStyle w:val="f-article-txt-fb"/>
          <w:rFonts w:ascii="Times New Roman" w:eastAsia="仿宋_GB2312" w:hAnsi="Times New Roman" w:hint="eastAsia"/>
          <w:bCs/>
          <w:color w:val="000000" w:themeColor="text1"/>
          <w:sz w:val="32"/>
          <w:szCs w:val="32"/>
        </w:rPr>
        <w:t>万元）的项目，经分管区领导审阅同意后报区委、区政府审查批准，批准后纳入年度</w:t>
      </w:r>
      <w:r w:rsidRPr="009E47BA">
        <w:rPr>
          <w:rStyle w:val="f-article-txt-fb"/>
          <w:rFonts w:ascii="Times New Roman" w:eastAsia="仿宋_GB2312" w:hAnsi="Times New Roman" w:hint="eastAsia"/>
          <w:bCs/>
          <w:color w:val="000000" w:themeColor="text1"/>
          <w:sz w:val="32"/>
          <w:szCs w:val="32"/>
        </w:rPr>
        <w:lastRenderedPageBreak/>
        <w:t>计划中。其中：新增项目投资额在</w:t>
      </w:r>
      <w:r w:rsidRPr="009E47BA">
        <w:rPr>
          <w:rStyle w:val="f-article-txt-fb"/>
          <w:rFonts w:ascii="Times New Roman" w:eastAsia="仿宋_GB2312" w:hAnsi="Times New Roman" w:hint="eastAsia"/>
          <w:bCs/>
          <w:color w:val="000000" w:themeColor="text1"/>
          <w:sz w:val="32"/>
          <w:szCs w:val="32"/>
        </w:rPr>
        <w:t>1000</w:t>
      </w:r>
      <w:r w:rsidRPr="009E47BA">
        <w:rPr>
          <w:rStyle w:val="f-article-txt-fb"/>
          <w:rFonts w:ascii="Times New Roman" w:eastAsia="仿宋_GB2312" w:hAnsi="Times New Roman" w:hint="eastAsia"/>
          <w:bCs/>
          <w:color w:val="000000" w:themeColor="text1"/>
          <w:sz w:val="32"/>
          <w:szCs w:val="32"/>
        </w:rPr>
        <w:t>万元以下的，报区政府常务会议审查批准；新增项目投资额在</w:t>
      </w:r>
      <w:r w:rsidRPr="009E47BA">
        <w:rPr>
          <w:rStyle w:val="f-article-txt-fb"/>
          <w:rFonts w:ascii="Times New Roman" w:eastAsia="仿宋_GB2312" w:hAnsi="Times New Roman" w:hint="eastAsia"/>
          <w:bCs/>
          <w:color w:val="000000" w:themeColor="text1"/>
          <w:sz w:val="32"/>
          <w:szCs w:val="32"/>
        </w:rPr>
        <w:t>1000</w:t>
      </w:r>
      <w:r w:rsidRPr="009E47BA">
        <w:rPr>
          <w:rStyle w:val="f-article-txt-fb"/>
          <w:rFonts w:ascii="Times New Roman" w:eastAsia="仿宋_GB2312" w:hAnsi="Times New Roman" w:hint="eastAsia"/>
          <w:bCs/>
          <w:color w:val="000000" w:themeColor="text1"/>
          <w:sz w:val="32"/>
          <w:szCs w:val="32"/>
        </w:rPr>
        <w:t>万元—</w:t>
      </w:r>
      <w:r w:rsidRPr="009E47BA">
        <w:rPr>
          <w:rStyle w:val="f-article-txt-fb"/>
          <w:rFonts w:ascii="Times New Roman" w:eastAsia="仿宋_GB2312" w:hAnsi="Times New Roman" w:hint="eastAsia"/>
          <w:bCs/>
          <w:color w:val="000000" w:themeColor="text1"/>
          <w:sz w:val="32"/>
          <w:szCs w:val="32"/>
        </w:rPr>
        <w:t>2000</w:t>
      </w:r>
      <w:r w:rsidRPr="009E47BA">
        <w:rPr>
          <w:rStyle w:val="f-article-txt-fb"/>
          <w:rFonts w:ascii="Times New Roman" w:eastAsia="仿宋_GB2312" w:hAnsi="Times New Roman" w:hint="eastAsia"/>
          <w:bCs/>
          <w:color w:val="000000" w:themeColor="text1"/>
          <w:sz w:val="32"/>
          <w:szCs w:val="32"/>
        </w:rPr>
        <w:t>万元的，报区政府常务会议审议，同意后提交区委常委会审查批准；新增项目投资额达</w:t>
      </w:r>
      <w:r w:rsidRPr="009E47BA">
        <w:rPr>
          <w:rStyle w:val="f-article-txt-fb"/>
          <w:rFonts w:ascii="Times New Roman" w:eastAsia="仿宋_GB2312" w:hAnsi="Times New Roman" w:hint="eastAsia"/>
          <w:bCs/>
          <w:color w:val="000000" w:themeColor="text1"/>
          <w:sz w:val="32"/>
          <w:szCs w:val="32"/>
        </w:rPr>
        <w:t>2000</w:t>
      </w:r>
      <w:r w:rsidRPr="009E47BA">
        <w:rPr>
          <w:rStyle w:val="f-article-txt-fb"/>
          <w:rFonts w:ascii="Times New Roman" w:eastAsia="仿宋_GB2312" w:hAnsi="Times New Roman" w:hint="eastAsia"/>
          <w:bCs/>
          <w:color w:val="000000" w:themeColor="text1"/>
          <w:sz w:val="32"/>
          <w:szCs w:val="32"/>
        </w:rPr>
        <w:t>万元及以上的，调整方案经区政府常务会议、区委常委会审议批准后，按程序向区人大报告并向区政协通报，审批后纳入年度计划中。</w:t>
      </w:r>
    </w:p>
    <w:p w:rsidR="009E47BA" w:rsidRPr="009E47BA" w:rsidRDefault="009E47BA" w:rsidP="00B5489E">
      <w:pPr>
        <w:ind w:firstLineChars="200" w:firstLine="643"/>
        <w:contextualSpacing/>
        <w:rPr>
          <w:rStyle w:val="f-article-txt-fb"/>
          <w:rFonts w:ascii="Times New Roman" w:eastAsia="仿宋_GB2312" w:hAnsi="Times New Roman"/>
          <w:bCs/>
          <w:color w:val="000000" w:themeColor="text1"/>
          <w:sz w:val="32"/>
          <w:szCs w:val="32"/>
        </w:rPr>
      </w:pPr>
      <w:r w:rsidRPr="00B5489E">
        <w:rPr>
          <w:rStyle w:val="f-article-txt-fb"/>
          <w:rFonts w:ascii="Times New Roman" w:eastAsia="仿宋_GB2312" w:hAnsi="Times New Roman" w:hint="eastAsia"/>
          <w:b/>
          <w:bCs/>
          <w:color w:val="000000" w:themeColor="text1"/>
          <w:sz w:val="32"/>
          <w:szCs w:val="32"/>
        </w:rPr>
        <w:t>第八条</w:t>
      </w:r>
      <w:r w:rsidRPr="009E47BA">
        <w:rPr>
          <w:rStyle w:val="f-article-txt-fb"/>
          <w:rFonts w:ascii="Times New Roman" w:eastAsia="仿宋_GB2312" w:hAnsi="Times New Roman" w:hint="eastAsia"/>
          <w:bCs/>
          <w:color w:val="000000" w:themeColor="text1"/>
          <w:sz w:val="32"/>
          <w:szCs w:val="32"/>
        </w:rPr>
        <w:t xml:space="preserve"> </w:t>
      </w:r>
      <w:r w:rsidRPr="009E47BA">
        <w:rPr>
          <w:rStyle w:val="f-article-txt-fb"/>
          <w:rFonts w:ascii="Times New Roman" w:eastAsia="仿宋_GB2312" w:hAnsi="Times New Roman" w:hint="eastAsia"/>
          <w:bCs/>
          <w:color w:val="000000" w:themeColor="text1"/>
          <w:sz w:val="32"/>
          <w:szCs w:val="32"/>
        </w:rPr>
        <w:t>纳入年度投资计划的政府投资项目在启动项目建设招投标程序前，应由实施单位在充分调查研究或论证的基础上提出方案或报告。投资额在</w:t>
      </w:r>
      <w:r w:rsidRPr="009E47BA">
        <w:rPr>
          <w:rStyle w:val="f-article-txt-fb"/>
          <w:rFonts w:ascii="Times New Roman" w:eastAsia="仿宋_GB2312" w:hAnsi="Times New Roman" w:hint="eastAsia"/>
          <w:bCs/>
          <w:color w:val="000000" w:themeColor="text1"/>
          <w:sz w:val="32"/>
          <w:szCs w:val="32"/>
        </w:rPr>
        <w:t>500</w:t>
      </w:r>
      <w:r w:rsidR="003F17FB">
        <w:rPr>
          <w:rStyle w:val="f-article-txt-fb"/>
          <w:rFonts w:ascii="Times New Roman" w:eastAsia="仿宋_GB2312" w:hAnsi="Times New Roman" w:hint="eastAsia"/>
          <w:bCs/>
          <w:color w:val="000000" w:themeColor="text1"/>
          <w:sz w:val="32"/>
          <w:szCs w:val="32"/>
        </w:rPr>
        <w:t>万元以下的项目，只审批项目建议书和投资概算；</w:t>
      </w:r>
      <w:r w:rsidRPr="009E47BA">
        <w:rPr>
          <w:rStyle w:val="f-article-txt-fb"/>
          <w:rFonts w:ascii="Times New Roman" w:eastAsia="仿宋_GB2312" w:hAnsi="Times New Roman" w:hint="eastAsia"/>
          <w:bCs/>
          <w:color w:val="000000" w:themeColor="text1"/>
          <w:sz w:val="32"/>
          <w:szCs w:val="32"/>
        </w:rPr>
        <w:t>500</w:t>
      </w:r>
      <w:r w:rsidRPr="009E47BA">
        <w:rPr>
          <w:rStyle w:val="f-article-txt-fb"/>
          <w:rFonts w:ascii="Times New Roman" w:eastAsia="仿宋_GB2312" w:hAnsi="Times New Roman" w:hint="eastAsia"/>
          <w:bCs/>
          <w:color w:val="000000" w:themeColor="text1"/>
          <w:sz w:val="32"/>
          <w:szCs w:val="32"/>
        </w:rPr>
        <w:t>万元以上的政府投资项目，项目建设单位应编制初步设计（含投资概算），报区发改委组织专家审查或由区发改委委托有相应资质的中介机构进行审查，审查工作在</w:t>
      </w:r>
      <w:r w:rsidRPr="009E47BA">
        <w:rPr>
          <w:rStyle w:val="f-article-txt-fb"/>
          <w:rFonts w:ascii="Times New Roman" w:eastAsia="仿宋_GB2312" w:hAnsi="Times New Roman" w:hint="eastAsia"/>
          <w:bCs/>
          <w:color w:val="000000" w:themeColor="text1"/>
          <w:sz w:val="32"/>
          <w:szCs w:val="32"/>
        </w:rPr>
        <w:t>7</w:t>
      </w:r>
      <w:r w:rsidRPr="009E47BA">
        <w:rPr>
          <w:rStyle w:val="f-article-txt-fb"/>
          <w:rFonts w:ascii="Times New Roman" w:eastAsia="仿宋_GB2312" w:hAnsi="Times New Roman" w:hint="eastAsia"/>
          <w:bCs/>
          <w:color w:val="000000" w:themeColor="text1"/>
          <w:sz w:val="32"/>
          <w:szCs w:val="32"/>
        </w:rPr>
        <w:t>个工作日内完成，除特殊情况外，不再审批开工报告；对采取投资补助、转贷和贷款贴息方式的政府投资项目，只审批项目资金申请报告，按基本建设程序和有关规定办理审批手续。其中：对采取直接投资和资本金注入方式的政府性投资项目，按基本建设项目报批程序办理项目审批手续。</w:t>
      </w:r>
    </w:p>
    <w:p w:rsidR="009E47BA" w:rsidRPr="009E47BA" w:rsidRDefault="009E47BA" w:rsidP="00B5489E">
      <w:pPr>
        <w:ind w:firstLineChars="200" w:firstLine="643"/>
        <w:contextualSpacing/>
        <w:rPr>
          <w:rStyle w:val="f-article-txt-fb"/>
          <w:rFonts w:ascii="Times New Roman" w:eastAsia="仿宋_GB2312" w:hAnsi="Times New Roman"/>
          <w:bCs/>
          <w:color w:val="000000" w:themeColor="text1"/>
          <w:sz w:val="32"/>
          <w:szCs w:val="32"/>
        </w:rPr>
      </w:pPr>
      <w:r w:rsidRPr="00B5489E">
        <w:rPr>
          <w:rStyle w:val="f-article-txt-fb"/>
          <w:rFonts w:ascii="Times New Roman" w:eastAsia="仿宋_GB2312" w:hAnsi="Times New Roman" w:hint="eastAsia"/>
          <w:b/>
          <w:bCs/>
          <w:color w:val="000000" w:themeColor="text1"/>
          <w:sz w:val="32"/>
          <w:szCs w:val="32"/>
        </w:rPr>
        <w:t>第九条</w:t>
      </w:r>
      <w:r w:rsidRPr="00B5489E">
        <w:rPr>
          <w:rStyle w:val="f-article-txt-fb"/>
          <w:rFonts w:ascii="Times New Roman" w:eastAsia="仿宋_GB2312" w:hAnsi="Times New Roman" w:hint="eastAsia"/>
          <w:b/>
          <w:bCs/>
          <w:color w:val="000000" w:themeColor="text1"/>
          <w:sz w:val="32"/>
          <w:szCs w:val="32"/>
        </w:rPr>
        <w:t xml:space="preserve"> </w:t>
      </w:r>
      <w:r w:rsidRPr="009E47BA">
        <w:rPr>
          <w:rStyle w:val="f-article-txt-fb"/>
          <w:rFonts w:ascii="Times New Roman" w:eastAsia="仿宋_GB2312" w:hAnsi="Times New Roman" w:hint="eastAsia"/>
          <w:bCs/>
          <w:color w:val="000000" w:themeColor="text1"/>
          <w:sz w:val="32"/>
          <w:szCs w:val="32"/>
        </w:rPr>
        <w:t>投资额在</w:t>
      </w:r>
      <w:r w:rsidRPr="009E47BA">
        <w:rPr>
          <w:rStyle w:val="f-article-txt-fb"/>
          <w:rFonts w:ascii="Times New Roman" w:eastAsia="仿宋_GB2312" w:hAnsi="Times New Roman" w:hint="eastAsia"/>
          <w:bCs/>
          <w:color w:val="000000" w:themeColor="text1"/>
          <w:sz w:val="32"/>
          <w:szCs w:val="32"/>
        </w:rPr>
        <w:t>3000</w:t>
      </w:r>
      <w:r w:rsidRPr="009E47BA">
        <w:rPr>
          <w:rStyle w:val="f-article-txt-fb"/>
          <w:rFonts w:ascii="Times New Roman" w:eastAsia="仿宋_GB2312" w:hAnsi="Times New Roman" w:hint="eastAsia"/>
          <w:bCs/>
          <w:color w:val="000000" w:themeColor="text1"/>
          <w:sz w:val="32"/>
          <w:szCs w:val="32"/>
        </w:rPr>
        <w:t>万及以上的政府投资项目在履行审批程序前须报市发改委和市财政局进行立项前审查。</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第十条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政府投资项目应当严格按照批准的设计文件进行施</w:t>
      </w:r>
      <w:r>
        <w:rPr>
          <w:rFonts w:ascii="Times New Roman" w:eastAsia="仿宋_GB2312" w:hAnsi="Times New Roman"/>
          <w:color w:val="000000" w:themeColor="text1"/>
          <w:sz w:val="32"/>
          <w:szCs w:val="32"/>
        </w:rPr>
        <w:lastRenderedPageBreak/>
        <w:t>工。确需变更设计的，由建设单位报原批准部门审批后，原设计单位方可修改工程设计。因设计变更或其他原因导致项目总投资变化并超过项目批准总概算</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％以上的，由原批准部门报区政府审查批准。未经批准擅自变更设计，其责任由建设单位自负。</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第十</w:t>
      </w:r>
      <w:r w:rsidR="00301CA0">
        <w:rPr>
          <w:rStyle w:val="f-article-txt-fb"/>
          <w:rFonts w:ascii="Times New Roman" w:eastAsia="仿宋_GB2312" w:hAnsi="Times New Roman" w:hint="eastAsia"/>
          <w:b/>
          <w:bCs/>
          <w:color w:val="000000" w:themeColor="text1"/>
          <w:sz w:val="32"/>
          <w:szCs w:val="32"/>
        </w:rPr>
        <w:t>一</w:t>
      </w:r>
      <w:r>
        <w:rPr>
          <w:rStyle w:val="f-article-txt-fb"/>
          <w:rFonts w:ascii="Times New Roman" w:eastAsia="仿宋_GB2312" w:hAnsi="Times New Roman"/>
          <w:b/>
          <w:bCs/>
          <w:color w:val="000000" w:themeColor="text1"/>
          <w:sz w:val="32"/>
          <w:szCs w:val="32"/>
        </w:rPr>
        <w:t>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政府投资项目的勘探、设计、施工、监理以及与项目建设有关的重要设备、材料的采购，应按照有关法律法规的规定，实行招投标。</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第十</w:t>
      </w:r>
      <w:r w:rsidR="00301CA0">
        <w:rPr>
          <w:rStyle w:val="f-article-txt-fb"/>
          <w:rFonts w:ascii="Times New Roman" w:eastAsia="仿宋_GB2312" w:hAnsi="Times New Roman" w:hint="eastAsia"/>
          <w:b/>
          <w:bCs/>
          <w:color w:val="000000" w:themeColor="text1"/>
          <w:sz w:val="32"/>
          <w:szCs w:val="32"/>
        </w:rPr>
        <w:t>二</w:t>
      </w:r>
      <w:r>
        <w:rPr>
          <w:rStyle w:val="f-article-txt-fb"/>
          <w:rFonts w:ascii="Times New Roman" w:eastAsia="仿宋_GB2312" w:hAnsi="Times New Roman"/>
          <w:b/>
          <w:bCs/>
          <w:color w:val="000000" w:themeColor="text1"/>
          <w:sz w:val="32"/>
          <w:szCs w:val="32"/>
        </w:rPr>
        <w:t>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政府投资项目资金应专款专用，实行概算控制预算，预算控制决算的原则。</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sz w:val="32"/>
          <w:szCs w:val="32"/>
        </w:rPr>
        <w:t>第十</w:t>
      </w:r>
      <w:r w:rsidR="00301CA0">
        <w:rPr>
          <w:rStyle w:val="f-article-txt-fb"/>
          <w:rFonts w:ascii="Times New Roman" w:eastAsia="仿宋_GB2312" w:hAnsi="Times New Roman" w:hint="eastAsia"/>
          <w:b/>
          <w:bCs/>
          <w:sz w:val="32"/>
          <w:szCs w:val="32"/>
        </w:rPr>
        <w:t>三</w:t>
      </w:r>
      <w:r>
        <w:rPr>
          <w:rStyle w:val="f-article-txt-fb"/>
          <w:rFonts w:ascii="Times New Roman" w:eastAsia="仿宋_GB2312" w:hAnsi="Times New Roman"/>
          <w:b/>
          <w:bCs/>
          <w:sz w:val="32"/>
          <w:szCs w:val="32"/>
        </w:rPr>
        <w:t>条</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政府投资项目实行竣工验收制度。已按批准的设计文件所规定的内容建成后，应当于</w:t>
      </w:r>
      <w:r>
        <w:rPr>
          <w:rFonts w:ascii="Times New Roman" w:eastAsia="仿宋_GB2312" w:hAnsi="Times New Roman"/>
          <w:color w:val="000000" w:themeColor="text1"/>
          <w:sz w:val="32"/>
          <w:szCs w:val="32"/>
        </w:rPr>
        <w:t>6</w:t>
      </w:r>
      <w:r>
        <w:rPr>
          <w:rFonts w:ascii="Times New Roman" w:eastAsia="仿宋_GB2312" w:hAnsi="Times New Roman"/>
          <w:color w:val="000000" w:themeColor="text1"/>
          <w:sz w:val="32"/>
          <w:szCs w:val="32"/>
        </w:rPr>
        <w:t>个月内依据国家有关规定由区建设主管部门制定验收方案报区政府常务会议审定，区建设主管部门按照审定后的验收方案组织综合验收，必要时可邀请工程使用方代表、人大代表、政协委员参与验收。项目竣工后，项目建设单位应在</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个月内编报竣工决算资料。项目法人在收到项目建设单位编报的项目竣工资料后，应立即报区审计部门，由区审计部门在</w:t>
      </w:r>
      <w:r>
        <w:rPr>
          <w:rFonts w:ascii="Times New Roman" w:eastAsia="仿宋_GB2312" w:hAnsi="Times New Roman"/>
          <w:color w:val="000000" w:themeColor="text1"/>
          <w:sz w:val="32"/>
          <w:szCs w:val="32"/>
        </w:rPr>
        <w:t>15</w:t>
      </w:r>
      <w:r>
        <w:rPr>
          <w:rFonts w:ascii="Times New Roman" w:eastAsia="仿宋_GB2312" w:hAnsi="Times New Roman"/>
          <w:color w:val="000000" w:themeColor="text1"/>
          <w:sz w:val="32"/>
          <w:szCs w:val="32"/>
        </w:rPr>
        <w:t>个工作日内委托具有相应资质的工程造价机构进行审核。工程造价机构应严格依据招投标文件约定和审计部门工程造价管理相关规定进行结算审核，并对结算审核报告内容的真实性、完整性、公正性负责。</w:t>
      </w:r>
    </w:p>
    <w:p w:rsidR="002F522C" w:rsidRDefault="00C57C51">
      <w:pPr>
        <w:ind w:firstLineChars="200" w:firstLine="643"/>
        <w:contextualSpacing/>
        <w:rPr>
          <w:rFonts w:ascii="Times New Roman" w:eastAsia="仿宋_GB2312" w:hAnsi="Times New Roman"/>
          <w:sz w:val="32"/>
          <w:szCs w:val="32"/>
        </w:rPr>
      </w:pPr>
      <w:bookmarkStart w:id="2" w:name="4"/>
      <w:bookmarkEnd w:id="2"/>
      <w:r>
        <w:rPr>
          <w:rStyle w:val="f-article-txt-fb"/>
          <w:rFonts w:ascii="Times New Roman" w:eastAsia="仿宋_GB2312" w:hAnsi="Times New Roman"/>
          <w:b/>
          <w:bCs/>
          <w:color w:val="000000" w:themeColor="text1"/>
          <w:sz w:val="32"/>
          <w:szCs w:val="32"/>
        </w:rPr>
        <w:lastRenderedPageBreak/>
        <w:t>第十</w:t>
      </w:r>
      <w:r w:rsidR="00301CA0">
        <w:rPr>
          <w:rStyle w:val="f-article-txt-fb"/>
          <w:rFonts w:ascii="Times New Roman" w:eastAsia="仿宋_GB2312" w:hAnsi="Times New Roman" w:hint="eastAsia"/>
          <w:b/>
          <w:bCs/>
          <w:color w:val="000000" w:themeColor="text1"/>
          <w:sz w:val="32"/>
          <w:szCs w:val="32"/>
        </w:rPr>
        <w:t>四</w:t>
      </w:r>
      <w:r>
        <w:rPr>
          <w:rStyle w:val="f-article-txt-fb"/>
          <w:rFonts w:ascii="Times New Roman" w:eastAsia="仿宋_GB2312" w:hAnsi="Times New Roman"/>
          <w:b/>
          <w:bCs/>
          <w:color w:val="000000" w:themeColor="text1"/>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区审计部门按规定对政府投资项目进行工程结算审计，每年自审比例不低于</w:t>
      </w:r>
      <w:r>
        <w:rPr>
          <w:rFonts w:ascii="Times New Roman" w:eastAsia="仿宋_GB2312" w:hAnsi="Times New Roman"/>
          <w:sz w:val="32"/>
          <w:szCs w:val="32"/>
        </w:rPr>
        <w:t>30%</w:t>
      </w:r>
      <w:r>
        <w:rPr>
          <w:rFonts w:ascii="Times New Roman" w:eastAsia="仿宋_GB2312" w:hAnsi="Times New Roman"/>
          <w:sz w:val="32"/>
          <w:szCs w:val="32"/>
        </w:rPr>
        <w:t>，</w:t>
      </w:r>
      <w:r>
        <w:rPr>
          <w:rFonts w:ascii="Times New Roman" w:eastAsia="仿宋_GB2312" w:hAnsi="Times New Roman"/>
          <w:sz w:val="32"/>
          <w:szCs w:val="32"/>
        </w:rPr>
        <w:t>100</w:t>
      </w:r>
      <w:r>
        <w:rPr>
          <w:rFonts w:ascii="Times New Roman" w:eastAsia="仿宋_GB2312" w:hAnsi="Times New Roman"/>
          <w:sz w:val="32"/>
          <w:szCs w:val="32"/>
        </w:rPr>
        <w:t>万元及以上的工程结算审价报告由区审计局按每年</w:t>
      </w:r>
      <w:r>
        <w:rPr>
          <w:rFonts w:ascii="Times New Roman" w:eastAsia="仿宋_GB2312" w:hAnsi="Times New Roman"/>
          <w:sz w:val="32"/>
          <w:szCs w:val="32"/>
        </w:rPr>
        <w:t>15%</w:t>
      </w:r>
      <w:r>
        <w:rPr>
          <w:rFonts w:ascii="Times New Roman" w:eastAsia="仿宋_GB2312" w:hAnsi="Times New Roman"/>
          <w:sz w:val="32"/>
          <w:szCs w:val="32"/>
        </w:rPr>
        <w:t>的比例随机抽取进行复审；经财政部门或审计部门审计的工程结算报告作为政府投资项目工程竣工结算审核和竣工财务决算的终审结论。建设单位据此办理项目资金结算和资产交付手续。</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第十</w:t>
      </w:r>
      <w:r w:rsidR="00301CA0">
        <w:rPr>
          <w:rStyle w:val="f-article-txt-fb"/>
          <w:rFonts w:ascii="Times New Roman" w:eastAsia="仿宋_GB2312" w:hAnsi="Times New Roman" w:hint="eastAsia"/>
          <w:b/>
          <w:bCs/>
          <w:color w:val="000000" w:themeColor="text1"/>
          <w:sz w:val="32"/>
          <w:szCs w:val="32"/>
        </w:rPr>
        <w:t>五</w:t>
      </w:r>
      <w:r>
        <w:rPr>
          <w:rStyle w:val="f-article-txt-fb"/>
          <w:rFonts w:ascii="Times New Roman" w:eastAsia="仿宋_GB2312" w:hAnsi="Times New Roman"/>
          <w:b/>
          <w:bCs/>
          <w:color w:val="000000" w:themeColor="text1"/>
          <w:sz w:val="32"/>
          <w:szCs w:val="32"/>
        </w:rPr>
        <w:t>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政府投资项目应当办理产权登记手续。产权登记由区国有资产管理机构负责。</w:t>
      </w:r>
    </w:p>
    <w:p w:rsidR="002F522C" w:rsidRDefault="00C57C51">
      <w:pPr>
        <w:ind w:firstLineChars="200" w:firstLine="643"/>
        <w:contextualSpacing/>
        <w:rPr>
          <w:rFonts w:ascii="Times New Roman" w:eastAsia="仿宋_GB2312" w:hAnsi="Times New Roman"/>
          <w:color w:val="000000" w:themeColor="text1"/>
          <w:sz w:val="32"/>
          <w:szCs w:val="32"/>
        </w:rPr>
      </w:pPr>
      <w:r>
        <w:rPr>
          <w:rStyle w:val="f-article-txt-fb"/>
          <w:rFonts w:ascii="Times New Roman" w:eastAsia="仿宋_GB2312" w:hAnsi="Times New Roman"/>
          <w:b/>
          <w:bCs/>
          <w:color w:val="000000" w:themeColor="text1"/>
          <w:sz w:val="32"/>
          <w:szCs w:val="32"/>
        </w:rPr>
        <w:t>第十</w:t>
      </w:r>
      <w:r w:rsidR="00301CA0">
        <w:rPr>
          <w:rStyle w:val="f-article-txt-fb"/>
          <w:rFonts w:ascii="Times New Roman" w:eastAsia="仿宋_GB2312" w:hAnsi="Times New Roman" w:hint="eastAsia"/>
          <w:b/>
          <w:bCs/>
          <w:color w:val="000000" w:themeColor="text1"/>
          <w:sz w:val="32"/>
          <w:szCs w:val="32"/>
        </w:rPr>
        <w:t>六</w:t>
      </w:r>
      <w:r>
        <w:rPr>
          <w:rStyle w:val="f-article-txt-fb"/>
          <w:rFonts w:ascii="Times New Roman" w:eastAsia="仿宋_GB2312" w:hAnsi="Times New Roman"/>
          <w:b/>
          <w:bCs/>
          <w:color w:val="000000" w:themeColor="text1"/>
          <w:sz w:val="32"/>
          <w:szCs w:val="32"/>
        </w:rPr>
        <w:t>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政府投资项目实行责任追究制度。建设单位、工程咨询、设计、施工、监理等单位，都有相应的责任约束。对不遵守法律法规给政府造成重大损失的，要依法追究有关责任人的行政和法律责任。</w:t>
      </w:r>
    </w:p>
    <w:p w:rsidR="002F522C" w:rsidRDefault="00C57C51">
      <w:pPr>
        <w:ind w:firstLineChars="200" w:firstLine="643"/>
        <w:contextualSpacing/>
        <w:rPr>
          <w:rFonts w:ascii="Times New Roman" w:hAnsi="Times New Roman"/>
          <w:color w:val="000000" w:themeColor="text1"/>
        </w:rPr>
      </w:pPr>
      <w:r>
        <w:rPr>
          <w:rStyle w:val="f-article-txt-fb"/>
          <w:rFonts w:ascii="Times New Roman" w:eastAsia="仿宋_GB2312" w:hAnsi="Times New Roman"/>
          <w:b/>
          <w:bCs/>
          <w:color w:val="000000" w:themeColor="text1"/>
          <w:sz w:val="32"/>
          <w:szCs w:val="32"/>
        </w:rPr>
        <w:t>第十</w:t>
      </w:r>
      <w:r w:rsidR="00301CA0">
        <w:rPr>
          <w:rStyle w:val="f-article-txt-fb"/>
          <w:rFonts w:ascii="Times New Roman" w:eastAsia="仿宋_GB2312" w:hAnsi="Times New Roman" w:hint="eastAsia"/>
          <w:b/>
          <w:bCs/>
          <w:color w:val="000000" w:themeColor="text1"/>
          <w:sz w:val="32"/>
          <w:szCs w:val="32"/>
        </w:rPr>
        <w:t>七</w:t>
      </w:r>
      <w:r>
        <w:rPr>
          <w:rStyle w:val="f-article-txt-fb"/>
          <w:rFonts w:ascii="Times New Roman" w:eastAsia="仿宋_GB2312" w:hAnsi="Times New Roman"/>
          <w:b/>
          <w:bCs/>
          <w:color w:val="000000" w:themeColor="text1"/>
          <w:sz w:val="32"/>
          <w:szCs w:val="32"/>
        </w:rPr>
        <w:t>条</w:t>
      </w:r>
      <w:r>
        <w:rPr>
          <w:rStyle w:val="apple-converted-space"/>
          <w:rFonts w:ascii="Times New Roman" w:eastAsia="仿宋_GB2312" w:hAnsi="Times New Roman"/>
          <w:color w:val="000000" w:themeColor="text1"/>
          <w:sz w:val="32"/>
          <w:szCs w:val="32"/>
        </w:rPr>
        <w:t> </w:t>
      </w:r>
      <w:r>
        <w:rPr>
          <w:rFonts w:ascii="Times New Roman" w:eastAsia="仿宋_GB2312" w:hAnsi="Times New Roman"/>
          <w:color w:val="000000" w:themeColor="text1"/>
          <w:sz w:val="32"/>
          <w:szCs w:val="32"/>
        </w:rPr>
        <w:t>本办法自</w:t>
      </w:r>
      <w:r>
        <w:rPr>
          <w:rFonts w:ascii="Times New Roman" w:eastAsia="仿宋_GB2312" w:hAnsi="Times New Roman"/>
          <w:color w:val="000000" w:themeColor="text1"/>
          <w:sz w:val="32"/>
          <w:szCs w:val="32"/>
        </w:rPr>
        <w:t>201</w:t>
      </w:r>
      <w:r w:rsidR="0024542D">
        <w:rPr>
          <w:rFonts w:ascii="Times New Roman" w:eastAsia="仿宋_GB2312" w:hAnsi="Times New Roman" w:hint="eastAsia"/>
          <w:color w:val="000000" w:themeColor="text1"/>
          <w:sz w:val="32"/>
          <w:szCs w:val="32"/>
        </w:rPr>
        <w:t>9</w:t>
      </w:r>
      <w:r>
        <w:rPr>
          <w:rFonts w:ascii="Times New Roman" w:eastAsia="仿宋_GB2312" w:hAnsi="Times New Roman"/>
          <w:color w:val="000000" w:themeColor="text1"/>
          <w:sz w:val="32"/>
          <w:szCs w:val="32"/>
        </w:rPr>
        <w:t>年</w:t>
      </w:r>
      <w:r w:rsidR="008E555F">
        <w:rPr>
          <w:rFonts w:ascii="Times New Roman" w:eastAsia="仿宋_GB2312" w:hAnsi="Times New Roman" w:hint="eastAsia"/>
          <w:color w:val="000000" w:themeColor="text1"/>
          <w:sz w:val="32"/>
          <w:szCs w:val="32"/>
        </w:rPr>
        <w:t>12</w:t>
      </w:r>
      <w:r>
        <w:rPr>
          <w:rFonts w:ascii="Times New Roman" w:eastAsia="仿宋_GB2312" w:hAnsi="Times New Roman"/>
          <w:color w:val="000000" w:themeColor="text1"/>
          <w:sz w:val="32"/>
          <w:szCs w:val="32"/>
        </w:rPr>
        <w:t>月</w:t>
      </w:r>
      <w:r w:rsidR="008E555F">
        <w:rPr>
          <w:rFonts w:ascii="Times New Roman" w:eastAsia="仿宋_GB2312" w:hAnsi="Times New Roman" w:hint="eastAsia"/>
          <w:color w:val="000000" w:themeColor="text1"/>
          <w:sz w:val="32"/>
          <w:szCs w:val="32"/>
        </w:rPr>
        <w:t>30</w:t>
      </w:r>
      <w:r>
        <w:rPr>
          <w:rFonts w:ascii="Times New Roman" w:eastAsia="仿宋_GB2312" w:hAnsi="Times New Roman"/>
          <w:color w:val="000000" w:themeColor="text1"/>
          <w:sz w:val="32"/>
          <w:szCs w:val="32"/>
        </w:rPr>
        <w:t>日起施行，由区发展和改革委员会负责解释。</w:t>
      </w:r>
    </w:p>
    <w:p w:rsidR="002F522C" w:rsidRDefault="002F522C">
      <w:pPr>
        <w:tabs>
          <w:tab w:val="left" w:pos="525"/>
          <w:tab w:val="left" w:pos="8820"/>
        </w:tabs>
        <w:spacing w:line="560" w:lineRule="exact"/>
        <w:ind w:right="317" w:firstLineChars="100" w:firstLine="300"/>
        <w:rPr>
          <w:rFonts w:ascii="仿宋_GB2312" w:eastAsia="仿宋_GB2312"/>
          <w:sz w:val="30"/>
          <w:szCs w:val="30"/>
        </w:rPr>
      </w:pPr>
    </w:p>
    <w:sectPr w:rsidR="002F522C" w:rsidSect="002F522C">
      <w:footerReference w:type="default" r:id="rId7"/>
      <w:pgSz w:w="11906" w:h="16838"/>
      <w:pgMar w:top="1985" w:right="1474" w:bottom="1871"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37C" w:rsidRDefault="006C237C" w:rsidP="002F522C">
      <w:r>
        <w:separator/>
      </w:r>
    </w:p>
  </w:endnote>
  <w:endnote w:type="continuationSeparator" w:id="1">
    <w:p w:rsidR="006C237C" w:rsidRDefault="006C237C" w:rsidP="002F52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2C" w:rsidRDefault="001C1860">
    <w:pPr>
      <w:pStyle w:val="a5"/>
      <w:jc w:val="center"/>
    </w:pPr>
    <w:r>
      <w:fldChar w:fldCharType="begin"/>
    </w:r>
    <w:r w:rsidR="00C57C51">
      <w:instrText xml:space="preserve"> PAGE   \* MERGEFORMAT </w:instrText>
    </w:r>
    <w:r>
      <w:fldChar w:fldCharType="separate"/>
    </w:r>
    <w:r w:rsidR="008E555F" w:rsidRPr="008E555F">
      <w:rPr>
        <w:noProof/>
        <w:lang w:val="zh-CN"/>
      </w:rPr>
      <w:t>5</w:t>
    </w:r>
    <w:r>
      <w:fldChar w:fldCharType="end"/>
    </w:r>
  </w:p>
  <w:p w:rsidR="002F522C" w:rsidRDefault="002F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37C" w:rsidRDefault="006C237C" w:rsidP="002F522C">
      <w:r>
        <w:separator/>
      </w:r>
    </w:p>
  </w:footnote>
  <w:footnote w:type="continuationSeparator" w:id="1">
    <w:p w:rsidR="006C237C" w:rsidRDefault="006C237C" w:rsidP="002F52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DE8"/>
    <w:rsid w:val="000038F3"/>
    <w:rsid w:val="000058A0"/>
    <w:rsid w:val="00007C07"/>
    <w:rsid w:val="000119D5"/>
    <w:rsid w:val="00012F4E"/>
    <w:rsid w:val="00015BED"/>
    <w:rsid w:val="00020966"/>
    <w:rsid w:val="00024F01"/>
    <w:rsid w:val="0002679A"/>
    <w:rsid w:val="00026A64"/>
    <w:rsid w:val="0002720B"/>
    <w:rsid w:val="00027FCE"/>
    <w:rsid w:val="000352C4"/>
    <w:rsid w:val="00035DC6"/>
    <w:rsid w:val="0003771C"/>
    <w:rsid w:val="0004461A"/>
    <w:rsid w:val="00054F98"/>
    <w:rsid w:val="000555A1"/>
    <w:rsid w:val="000665DD"/>
    <w:rsid w:val="00072506"/>
    <w:rsid w:val="00074CCA"/>
    <w:rsid w:val="00076260"/>
    <w:rsid w:val="0008176F"/>
    <w:rsid w:val="0008400A"/>
    <w:rsid w:val="000842AA"/>
    <w:rsid w:val="000876C7"/>
    <w:rsid w:val="00092091"/>
    <w:rsid w:val="0009260E"/>
    <w:rsid w:val="000956B1"/>
    <w:rsid w:val="00097E6E"/>
    <w:rsid w:val="00097EC6"/>
    <w:rsid w:val="000A7D29"/>
    <w:rsid w:val="000B31A3"/>
    <w:rsid w:val="000B6000"/>
    <w:rsid w:val="000B729C"/>
    <w:rsid w:val="000D3B56"/>
    <w:rsid w:val="000E3B16"/>
    <w:rsid w:val="0010360A"/>
    <w:rsid w:val="001049D2"/>
    <w:rsid w:val="0010634A"/>
    <w:rsid w:val="00111565"/>
    <w:rsid w:val="00121381"/>
    <w:rsid w:val="001248F0"/>
    <w:rsid w:val="00126FE8"/>
    <w:rsid w:val="00127105"/>
    <w:rsid w:val="001273A2"/>
    <w:rsid w:val="00131689"/>
    <w:rsid w:val="00144154"/>
    <w:rsid w:val="00145069"/>
    <w:rsid w:val="00147A87"/>
    <w:rsid w:val="001718C3"/>
    <w:rsid w:val="00176B38"/>
    <w:rsid w:val="0018523A"/>
    <w:rsid w:val="00194841"/>
    <w:rsid w:val="001970A9"/>
    <w:rsid w:val="001A3671"/>
    <w:rsid w:val="001A3EEE"/>
    <w:rsid w:val="001A53DD"/>
    <w:rsid w:val="001A70AE"/>
    <w:rsid w:val="001B0C6E"/>
    <w:rsid w:val="001C0A4A"/>
    <w:rsid w:val="001C1860"/>
    <w:rsid w:val="001C3C6D"/>
    <w:rsid w:val="001C4DA7"/>
    <w:rsid w:val="001C63DC"/>
    <w:rsid w:val="001E2846"/>
    <w:rsid w:val="001E2854"/>
    <w:rsid w:val="001E4779"/>
    <w:rsid w:val="001F0760"/>
    <w:rsid w:val="001F2923"/>
    <w:rsid w:val="002031BE"/>
    <w:rsid w:val="002074E9"/>
    <w:rsid w:val="00215F26"/>
    <w:rsid w:val="00223633"/>
    <w:rsid w:val="002264EF"/>
    <w:rsid w:val="00230414"/>
    <w:rsid w:val="002322A7"/>
    <w:rsid w:val="00234784"/>
    <w:rsid w:val="00234A30"/>
    <w:rsid w:val="00235F27"/>
    <w:rsid w:val="0023760D"/>
    <w:rsid w:val="00237D81"/>
    <w:rsid w:val="0024542D"/>
    <w:rsid w:val="00247CA8"/>
    <w:rsid w:val="00255299"/>
    <w:rsid w:val="0026209E"/>
    <w:rsid w:val="00262DFE"/>
    <w:rsid w:val="00263FD3"/>
    <w:rsid w:val="002648CA"/>
    <w:rsid w:val="00265AA1"/>
    <w:rsid w:val="0026776D"/>
    <w:rsid w:val="00270CEA"/>
    <w:rsid w:val="00271AB2"/>
    <w:rsid w:val="00271CF3"/>
    <w:rsid w:val="002739EF"/>
    <w:rsid w:val="002749DE"/>
    <w:rsid w:val="00275042"/>
    <w:rsid w:val="00281E77"/>
    <w:rsid w:val="00283031"/>
    <w:rsid w:val="00292B2B"/>
    <w:rsid w:val="00294B02"/>
    <w:rsid w:val="00297727"/>
    <w:rsid w:val="002A1210"/>
    <w:rsid w:val="002A2B5F"/>
    <w:rsid w:val="002A6394"/>
    <w:rsid w:val="002B185A"/>
    <w:rsid w:val="002B4FF5"/>
    <w:rsid w:val="002C0F8F"/>
    <w:rsid w:val="002C15D4"/>
    <w:rsid w:val="002C49E1"/>
    <w:rsid w:val="002C5E4A"/>
    <w:rsid w:val="002C60C0"/>
    <w:rsid w:val="002D2366"/>
    <w:rsid w:val="002D424F"/>
    <w:rsid w:val="002D4BB0"/>
    <w:rsid w:val="002D7486"/>
    <w:rsid w:val="002E0859"/>
    <w:rsid w:val="002E268F"/>
    <w:rsid w:val="002E7D1C"/>
    <w:rsid w:val="002F38A7"/>
    <w:rsid w:val="002F522C"/>
    <w:rsid w:val="002F6302"/>
    <w:rsid w:val="00300508"/>
    <w:rsid w:val="00301CA0"/>
    <w:rsid w:val="003033B6"/>
    <w:rsid w:val="00307992"/>
    <w:rsid w:val="00311B27"/>
    <w:rsid w:val="00312D97"/>
    <w:rsid w:val="00320AA9"/>
    <w:rsid w:val="003255CB"/>
    <w:rsid w:val="003279A9"/>
    <w:rsid w:val="00327A8A"/>
    <w:rsid w:val="00332504"/>
    <w:rsid w:val="00333A60"/>
    <w:rsid w:val="00343405"/>
    <w:rsid w:val="00355D5E"/>
    <w:rsid w:val="00362686"/>
    <w:rsid w:val="003635F0"/>
    <w:rsid w:val="00363D4B"/>
    <w:rsid w:val="0036459A"/>
    <w:rsid w:val="00375D72"/>
    <w:rsid w:val="003767B5"/>
    <w:rsid w:val="00381DE8"/>
    <w:rsid w:val="003827E2"/>
    <w:rsid w:val="00382BE1"/>
    <w:rsid w:val="003931BF"/>
    <w:rsid w:val="00396BD9"/>
    <w:rsid w:val="003B42C2"/>
    <w:rsid w:val="003B6C3C"/>
    <w:rsid w:val="003C2262"/>
    <w:rsid w:val="003C330E"/>
    <w:rsid w:val="003C45C2"/>
    <w:rsid w:val="003C4AC7"/>
    <w:rsid w:val="003C4F7D"/>
    <w:rsid w:val="003D5BF1"/>
    <w:rsid w:val="003E084B"/>
    <w:rsid w:val="003E1899"/>
    <w:rsid w:val="003F1162"/>
    <w:rsid w:val="003F17FB"/>
    <w:rsid w:val="003F459D"/>
    <w:rsid w:val="00400826"/>
    <w:rsid w:val="0041084B"/>
    <w:rsid w:val="004108E1"/>
    <w:rsid w:val="00415089"/>
    <w:rsid w:val="00416CF1"/>
    <w:rsid w:val="004266E3"/>
    <w:rsid w:val="004312FD"/>
    <w:rsid w:val="00453FF4"/>
    <w:rsid w:val="00461E4E"/>
    <w:rsid w:val="00463A53"/>
    <w:rsid w:val="004650D5"/>
    <w:rsid w:val="00477CC9"/>
    <w:rsid w:val="0049048C"/>
    <w:rsid w:val="00493EE8"/>
    <w:rsid w:val="004953C5"/>
    <w:rsid w:val="004A37EF"/>
    <w:rsid w:val="004A645F"/>
    <w:rsid w:val="004B5DA4"/>
    <w:rsid w:val="004B6761"/>
    <w:rsid w:val="004C54D3"/>
    <w:rsid w:val="004C7FBA"/>
    <w:rsid w:val="004D1A5E"/>
    <w:rsid w:val="004D5A13"/>
    <w:rsid w:val="004D6287"/>
    <w:rsid w:val="004E2B8B"/>
    <w:rsid w:val="004F18EB"/>
    <w:rsid w:val="00501049"/>
    <w:rsid w:val="00505E1B"/>
    <w:rsid w:val="005075EC"/>
    <w:rsid w:val="00512FEB"/>
    <w:rsid w:val="00514026"/>
    <w:rsid w:val="005140A1"/>
    <w:rsid w:val="005142D5"/>
    <w:rsid w:val="005207C3"/>
    <w:rsid w:val="00520942"/>
    <w:rsid w:val="0052234A"/>
    <w:rsid w:val="00525232"/>
    <w:rsid w:val="005447C9"/>
    <w:rsid w:val="00546961"/>
    <w:rsid w:val="0054739F"/>
    <w:rsid w:val="00555EBB"/>
    <w:rsid w:val="00562568"/>
    <w:rsid w:val="00565A6E"/>
    <w:rsid w:val="00567CA4"/>
    <w:rsid w:val="005704DB"/>
    <w:rsid w:val="005870AF"/>
    <w:rsid w:val="00590360"/>
    <w:rsid w:val="00596417"/>
    <w:rsid w:val="005A5318"/>
    <w:rsid w:val="005A6B59"/>
    <w:rsid w:val="005A7FF8"/>
    <w:rsid w:val="005B4274"/>
    <w:rsid w:val="005C5C31"/>
    <w:rsid w:val="005D702E"/>
    <w:rsid w:val="005F0D79"/>
    <w:rsid w:val="005F151F"/>
    <w:rsid w:val="005F36B8"/>
    <w:rsid w:val="00603A63"/>
    <w:rsid w:val="00605304"/>
    <w:rsid w:val="00605415"/>
    <w:rsid w:val="006176C9"/>
    <w:rsid w:val="006218B6"/>
    <w:rsid w:val="00622EF5"/>
    <w:rsid w:val="006373CE"/>
    <w:rsid w:val="00661911"/>
    <w:rsid w:val="00662405"/>
    <w:rsid w:val="006642D4"/>
    <w:rsid w:val="00675456"/>
    <w:rsid w:val="00675C0D"/>
    <w:rsid w:val="00683B68"/>
    <w:rsid w:val="00697CDA"/>
    <w:rsid w:val="006A4ED1"/>
    <w:rsid w:val="006A511C"/>
    <w:rsid w:val="006A54F1"/>
    <w:rsid w:val="006A7D36"/>
    <w:rsid w:val="006B6E5D"/>
    <w:rsid w:val="006C237C"/>
    <w:rsid w:val="006C2C29"/>
    <w:rsid w:val="006C3F35"/>
    <w:rsid w:val="006D0407"/>
    <w:rsid w:val="006D4F7B"/>
    <w:rsid w:val="006E1C34"/>
    <w:rsid w:val="006E34B8"/>
    <w:rsid w:val="006E3F37"/>
    <w:rsid w:val="006E61B4"/>
    <w:rsid w:val="006F1645"/>
    <w:rsid w:val="00710084"/>
    <w:rsid w:val="0071144E"/>
    <w:rsid w:val="0071645D"/>
    <w:rsid w:val="007170D9"/>
    <w:rsid w:val="00720EAD"/>
    <w:rsid w:val="00731EAD"/>
    <w:rsid w:val="007413E7"/>
    <w:rsid w:val="00742CE3"/>
    <w:rsid w:val="00751DE9"/>
    <w:rsid w:val="00754D14"/>
    <w:rsid w:val="00757595"/>
    <w:rsid w:val="00762E5B"/>
    <w:rsid w:val="007632CF"/>
    <w:rsid w:val="00764645"/>
    <w:rsid w:val="007664AC"/>
    <w:rsid w:val="00766E68"/>
    <w:rsid w:val="0077219F"/>
    <w:rsid w:val="00774569"/>
    <w:rsid w:val="007756DB"/>
    <w:rsid w:val="00775AA1"/>
    <w:rsid w:val="0078114D"/>
    <w:rsid w:val="0078353F"/>
    <w:rsid w:val="007849C9"/>
    <w:rsid w:val="00786631"/>
    <w:rsid w:val="00787DBE"/>
    <w:rsid w:val="007958BC"/>
    <w:rsid w:val="00797EF9"/>
    <w:rsid w:val="007A29D8"/>
    <w:rsid w:val="007A6022"/>
    <w:rsid w:val="007C3798"/>
    <w:rsid w:val="007C5A62"/>
    <w:rsid w:val="007C65F4"/>
    <w:rsid w:val="007D030A"/>
    <w:rsid w:val="007D279A"/>
    <w:rsid w:val="007F09B5"/>
    <w:rsid w:val="0080066F"/>
    <w:rsid w:val="00802ECE"/>
    <w:rsid w:val="008105D5"/>
    <w:rsid w:val="00812B99"/>
    <w:rsid w:val="00814FC6"/>
    <w:rsid w:val="0081649A"/>
    <w:rsid w:val="0081663F"/>
    <w:rsid w:val="00816F08"/>
    <w:rsid w:val="0082402D"/>
    <w:rsid w:val="008278B8"/>
    <w:rsid w:val="00834D16"/>
    <w:rsid w:val="00836592"/>
    <w:rsid w:val="008403DC"/>
    <w:rsid w:val="00841C70"/>
    <w:rsid w:val="0084517E"/>
    <w:rsid w:val="00846D9D"/>
    <w:rsid w:val="0085289C"/>
    <w:rsid w:val="0085373C"/>
    <w:rsid w:val="00856F0A"/>
    <w:rsid w:val="0085715C"/>
    <w:rsid w:val="00857482"/>
    <w:rsid w:val="00862301"/>
    <w:rsid w:val="00865DAB"/>
    <w:rsid w:val="00872808"/>
    <w:rsid w:val="00872982"/>
    <w:rsid w:val="00874BBA"/>
    <w:rsid w:val="00876CE1"/>
    <w:rsid w:val="00892B2B"/>
    <w:rsid w:val="008A11D1"/>
    <w:rsid w:val="008B1C36"/>
    <w:rsid w:val="008B3B5F"/>
    <w:rsid w:val="008B3E85"/>
    <w:rsid w:val="008B42D2"/>
    <w:rsid w:val="008D4398"/>
    <w:rsid w:val="008E555F"/>
    <w:rsid w:val="008F7BA2"/>
    <w:rsid w:val="009018F5"/>
    <w:rsid w:val="00907226"/>
    <w:rsid w:val="00907380"/>
    <w:rsid w:val="0091024C"/>
    <w:rsid w:val="009121CA"/>
    <w:rsid w:val="0091245C"/>
    <w:rsid w:val="00924233"/>
    <w:rsid w:val="00925D1F"/>
    <w:rsid w:val="00927332"/>
    <w:rsid w:val="009400A8"/>
    <w:rsid w:val="00942051"/>
    <w:rsid w:val="0094661B"/>
    <w:rsid w:val="00950D7D"/>
    <w:rsid w:val="00951140"/>
    <w:rsid w:val="00961F16"/>
    <w:rsid w:val="0096269B"/>
    <w:rsid w:val="0096523A"/>
    <w:rsid w:val="00967649"/>
    <w:rsid w:val="00971055"/>
    <w:rsid w:val="00974419"/>
    <w:rsid w:val="00974A8C"/>
    <w:rsid w:val="00977228"/>
    <w:rsid w:val="0097781D"/>
    <w:rsid w:val="009977D8"/>
    <w:rsid w:val="009978C9"/>
    <w:rsid w:val="009A0570"/>
    <w:rsid w:val="009A7D46"/>
    <w:rsid w:val="009B085D"/>
    <w:rsid w:val="009B1763"/>
    <w:rsid w:val="009B4A52"/>
    <w:rsid w:val="009C3495"/>
    <w:rsid w:val="009C43D7"/>
    <w:rsid w:val="009D3F19"/>
    <w:rsid w:val="009E3018"/>
    <w:rsid w:val="009E47BA"/>
    <w:rsid w:val="009E567B"/>
    <w:rsid w:val="009E6AC5"/>
    <w:rsid w:val="009F171E"/>
    <w:rsid w:val="009F1F60"/>
    <w:rsid w:val="00A31D67"/>
    <w:rsid w:val="00A6330D"/>
    <w:rsid w:val="00A776A1"/>
    <w:rsid w:val="00A80895"/>
    <w:rsid w:val="00A87E40"/>
    <w:rsid w:val="00A96531"/>
    <w:rsid w:val="00A97DD2"/>
    <w:rsid w:val="00AA0128"/>
    <w:rsid w:val="00AA4946"/>
    <w:rsid w:val="00AB16A1"/>
    <w:rsid w:val="00AB1C39"/>
    <w:rsid w:val="00AB3902"/>
    <w:rsid w:val="00AB3C6F"/>
    <w:rsid w:val="00AC4C38"/>
    <w:rsid w:val="00AD1B2A"/>
    <w:rsid w:val="00AD1FA2"/>
    <w:rsid w:val="00AD25C7"/>
    <w:rsid w:val="00AD3727"/>
    <w:rsid w:val="00AE0853"/>
    <w:rsid w:val="00AE704D"/>
    <w:rsid w:val="00AF0930"/>
    <w:rsid w:val="00AF16BD"/>
    <w:rsid w:val="00AF20BC"/>
    <w:rsid w:val="00B02A62"/>
    <w:rsid w:val="00B066F4"/>
    <w:rsid w:val="00B20FBF"/>
    <w:rsid w:val="00B30744"/>
    <w:rsid w:val="00B37192"/>
    <w:rsid w:val="00B40931"/>
    <w:rsid w:val="00B45963"/>
    <w:rsid w:val="00B5489E"/>
    <w:rsid w:val="00B56B98"/>
    <w:rsid w:val="00B72690"/>
    <w:rsid w:val="00B81CA7"/>
    <w:rsid w:val="00B81D74"/>
    <w:rsid w:val="00B86AF1"/>
    <w:rsid w:val="00B91F01"/>
    <w:rsid w:val="00B9679C"/>
    <w:rsid w:val="00B9780F"/>
    <w:rsid w:val="00B97D08"/>
    <w:rsid w:val="00BA530C"/>
    <w:rsid w:val="00BA604D"/>
    <w:rsid w:val="00BB1C9E"/>
    <w:rsid w:val="00BB1F20"/>
    <w:rsid w:val="00BB33B0"/>
    <w:rsid w:val="00BB369E"/>
    <w:rsid w:val="00BB53CF"/>
    <w:rsid w:val="00BC4D7D"/>
    <w:rsid w:val="00BC5E27"/>
    <w:rsid w:val="00BD153A"/>
    <w:rsid w:val="00BD3668"/>
    <w:rsid w:val="00BE1C5A"/>
    <w:rsid w:val="00BE2940"/>
    <w:rsid w:val="00BE5494"/>
    <w:rsid w:val="00BF3114"/>
    <w:rsid w:val="00C00178"/>
    <w:rsid w:val="00C025EB"/>
    <w:rsid w:val="00C02D2E"/>
    <w:rsid w:val="00C06A0F"/>
    <w:rsid w:val="00C126E7"/>
    <w:rsid w:val="00C15DD1"/>
    <w:rsid w:val="00C30BDF"/>
    <w:rsid w:val="00C32C2A"/>
    <w:rsid w:val="00C433EB"/>
    <w:rsid w:val="00C477BE"/>
    <w:rsid w:val="00C53EB6"/>
    <w:rsid w:val="00C57C51"/>
    <w:rsid w:val="00C617CA"/>
    <w:rsid w:val="00C637A3"/>
    <w:rsid w:val="00C7538B"/>
    <w:rsid w:val="00C770A6"/>
    <w:rsid w:val="00C85482"/>
    <w:rsid w:val="00C950DD"/>
    <w:rsid w:val="00C95695"/>
    <w:rsid w:val="00C96896"/>
    <w:rsid w:val="00CB64A9"/>
    <w:rsid w:val="00CC61D0"/>
    <w:rsid w:val="00CD0310"/>
    <w:rsid w:val="00CD0D88"/>
    <w:rsid w:val="00CD2164"/>
    <w:rsid w:val="00CD2A23"/>
    <w:rsid w:val="00CD2ED0"/>
    <w:rsid w:val="00CD623A"/>
    <w:rsid w:val="00CD67B8"/>
    <w:rsid w:val="00CE544B"/>
    <w:rsid w:val="00CE72DA"/>
    <w:rsid w:val="00CF39D1"/>
    <w:rsid w:val="00CF3E76"/>
    <w:rsid w:val="00D01BB8"/>
    <w:rsid w:val="00D12EE9"/>
    <w:rsid w:val="00D13C66"/>
    <w:rsid w:val="00D175B2"/>
    <w:rsid w:val="00D179A3"/>
    <w:rsid w:val="00D270A8"/>
    <w:rsid w:val="00D27513"/>
    <w:rsid w:val="00D429B7"/>
    <w:rsid w:val="00D46B23"/>
    <w:rsid w:val="00D62A83"/>
    <w:rsid w:val="00D64EE2"/>
    <w:rsid w:val="00D71A9A"/>
    <w:rsid w:val="00D74CE4"/>
    <w:rsid w:val="00D814F7"/>
    <w:rsid w:val="00D87CA4"/>
    <w:rsid w:val="00D90CE5"/>
    <w:rsid w:val="00DA2EDE"/>
    <w:rsid w:val="00DB48D5"/>
    <w:rsid w:val="00DB5362"/>
    <w:rsid w:val="00DC25F0"/>
    <w:rsid w:val="00DC3E03"/>
    <w:rsid w:val="00DD26F3"/>
    <w:rsid w:val="00DD5402"/>
    <w:rsid w:val="00DE054F"/>
    <w:rsid w:val="00DE0E45"/>
    <w:rsid w:val="00DE50FA"/>
    <w:rsid w:val="00E0155B"/>
    <w:rsid w:val="00E06F30"/>
    <w:rsid w:val="00E2242A"/>
    <w:rsid w:val="00E2443C"/>
    <w:rsid w:val="00E24FA5"/>
    <w:rsid w:val="00E268A2"/>
    <w:rsid w:val="00E32A84"/>
    <w:rsid w:val="00E37377"/>
    <w:rsid w:val="00E41C30"/>
    <w:rsid w:val="00E43773"/>
    <w:rsid w:val="00E57AF6"/>
    <w:rsid w:val="00E654EB"/>
    <w:rsid w:val="00E6555C"/>
    <w:rsid w:val="00E67B2F"/>
    <w:rsid w:val="00E86B43"/>
    <w:rsid w:val="00E9717C"/>
    <w:rsid w:val="00EA1EE3"/>
    <w:rsid w:val="00EA57AC"/>
    <w:rsid w:val="00EA6BB7"/>
    <w:rsid w:val="00EB0492"/>
    <w:rsid w:val="00EC0B1B"/>
    <w:rsid w:val="00EC16AD"/>
    <w:rsid w:val="00EC41BC"/>
    <w:rsid w:val="00EC7D5D"/>
    <w:rsid w:val="00ED0D28"/>
    <w:rsid w:val="00EE1409"/>
    <w:rsid w:val="00EE394C"/>
    <w:rsid w:val="00EE7C91"/>
    <w:rsid w:val="00EF1D98"/>
    <w:rsid w:val="00F01878"/>
    <w:rsid w:val="00F019A2"/>
    <w:rsid w:val="00F0227E"/>
    <w:rsid w:val="00F04C24"/>
    <w:rsid w:val="00F064D9"/>
    <w:rsid w:val="00F06726"/>
    <w:rsid w:val="00F13506"/>
    <w:rsid w:val="00F13EE5"/>
    <w:rsid w:val="00F17B34"/>
    <w:rsid w:val="00F22B3B"/>
    <w:rsid w:val="00F25857"/>
    <w:rsid w:val="00F2645B"/>
    <w:rsid w:val="00F309D7"/>
    <w:rsid w:val="00F379D0"/>
    <w:rsid w:val="00F42A18"/>
    <w:rsid w:val="00F445F9"/>
    <w:rsid w:val="00F54BDC"/>
    <w:rsid w:val="00F57526"/>
    <w:rsid w:val="00F60281"/>
    <w:rsid w:val="00F61585"/>
    <w:rsid w:val="00F64259"/>
    <w:rsid w:val="00F65C5E"/>
    <w:rsid w:val="00F67719"/>
    <w:rsid w:val="00F67CE0"/>
    <w:rsid w:val="00F70424"/>
    <w:rsid w:val="00F70CFE"/>
    <w:rsid w:val="00F74C8D"/>
    <w:rsid w:val="00F96D5F"/>
    <w:rsid w:val="00FA30C3"/>
    <w:rsid w:val="00FB1F4E"/>
    <w:rsid w:val="00FC2912"/>
    <w:rsid w:val="00FC669A"/>
    <w:rsid w:val="00FC6C42"/>
    <w:rsid w:val="00FC71AD"/>
    <w:rsid w:val="00FC7B13"/>
    <w:rsid w:val="00FD2EB2"/>
    <w:rsid w:val="00FE67A7"/>
    <w:rsid w:val="00FF19E3"/>
    <w:rsid w:val="00FF223C"/>
    <w:rsid w:val="00FF2F6C"/>
    <w:rsid w:val="00FF3AA0"/>
    <w:rsid w:val="2D5B095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2C"/>
    <w:pPr>
      <w:widowControl w:val="0"/>
      <w:jc w:val="both"/>
    </w:pPr>
    <w:rPr>
      <w:rFonts w:ascii="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2F522C"/>
    <w:pPr>
      <w:ind w:leftChars="2500" w:left="100"/>
    </w:pPr>
  </w:style>
  <w:style w:type="paragraph" w:styleId="a4">
    <w:name w:val="Balloon Text"/>
    <w:basedOn w:val="a"/>
    <w:link w:val="Char0"/>
    <w:uiPriority w:val="99"/>
    <w:semiHidden/>
    <w:rsid w:val="002F522C"/>
    <w:rPr>
      <w:sz w:val="18"/>
      <w:szCs w:val="18"/>
    </w:rPr>
  </w:style>
  <w:style w:type="paragraph" w:styleId="a5">
    <w:name w:val="footer"/>
    <w:basedOn w:val="a"/>
    <w:link w:val="Char1"/>
    <w:uiPriority w:val="99"/>
    <w:rsid w:val="002F522C"/>
    <w:pPr>
      <w:tabs>
        <w:tab w:val="center" w:pos="4153"/>
        <w:tab w:val="right" w:pos="8306"/>
      </w:tabs>
      <w:snapToGrid w:val="0"/>
      <w:jc w:val="left"/>
    </w:pPr>
    <w:rPr>
      <w:sz w:val="18"/>
      <w:szCs w:val="18"/>
    </w:rPr>
  </w:style>
  <w:style w:type="paragraph" w:styleId="a6">
    <w:name w:val="header"/>
    <w:basedOn w:val="a"/>
    <w:link w:val="Char2"/>
    <w:uiPriority w:val="99"/>
    <w:rsid w:val="002F522C"/>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sid w:val="002F522C"/>
    <w:rPr>
      <w:rFonts w:cs="Times New Roman"/>
      <w:color w:val="0000FF"/>
      <w:u w:val="single"/>
    </w:rPr>
  </w:style>
  <w:style w:type="character" w:customStyle="1" w:styleId="Char2">
    <w:name w:val="页眉 Char"/>
    <w:basedOn w:val="a0"/>
    <w:link w:val="a6"/>
    <w:uiPriority w:val="99"/>
    <w:locked/>
    <w:rsid w:val="002F522C"/>
    <w:rPr>
      <w:rFonts w:cs="Times New Roman"/>
      <w:sz w:val="18"/>
      <w:szCs w:val="18"/>
    </w:rPr>
  </w:style>
  <w:style w:type="character" w:customStyle="1" w:styleId="Char1">
    <w:name w:val="页脚 Char"/>
    <w:basedOn w:val="a0"/>
    <w:link w:val="a5"/>
    <w:uiPriority w:val="99"/>
    <w:locked/>
    <w:rsid w:val="002F522C"/>
    <w:rPr>
      <w:rFonts w:cs="Times New Roman"/>
      <w:sz w:val="18"/>
      <w:szCs w:val="18"/>
    </w:rPr>
  </w:style>
  <w:style w:type="paragraph" w:customStyle="1" w:styleId="1">
    <w:name w:val="列出段落1"/>
    <w:basedOn w:val="a"/>
    <w:uiPriority w:val="99"/>
    <w:qFormat/>
    <w:rsid w:val="002F522C"/>
    <w:pPr>
      <w:ind w:firstLineChars="200" w:firstLine="420"/>
    </w:pPr>
  </w:style>
  <w:style w:type="character" w:customStyle="1" w:styleId="Char">
    <w:name w:val="日期 Char"/>
    <w:basedOn w:val="a0"/>
    <w:link w:val="a3"/>
    <w:uiPriority w:val="99"/>
    <w:semiHidden/>
    <w:locked/>
    <w:rsid w:val="002F522C"/>
    <w:rPr>
      <w:rFonts w:ascii="宋体" w:cs="Times New Roman"/>
    </w:rPr>
  </w:style>
  <w:style w:type="character" w:customStyle="1" w:styleId="Char0">
    <w:name w:val="批注框文本 Char"/>
    <w:basedOn w:val="a0"/>
    <w:link w:val="a4"/>
    <w:uiPriority w:val="99"/>
    <w:semiHidden/>
    <w:locked/>
    <w:rsid w:val="002F522C"/>
    <w:rPr>
      <w:rFonts w:ascii="宋体" w:cs="Times New Roman"/>
      <w:sz w:val="18"/>
      <w:szCs w:val="18"/>
    </w:rPr>
  </w:style>
  <w:style w:type="character" w:customStyle="1" w:styleId="f-article-txt-fb">
    <w:name w:val="f-article-txt-fb"/>
    <w:basedOn w:val="a0"/>
    <w:rsid w:val="002F522C"/>
  </w:style>
  <w:style w:type="character" w:customStyle="1" w:styleId="apple-converted-space">
    <w:name w:val="apple-converted-space"/>
    <w:basedOn w:val="a0"/>
    <w:rsid w:val="002F522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339</Words>
  <Characters>1936</Characters>
  <Application>Microsoft Office Word</Application>
  <DocSecurity>0</DocSecurity>
  <Lines>16</Lines>
  <Paragraphs>4</Paragraphs>
  <ScaleCrop>false</ScaleCrop>
  <Company>Lenovo (Beijing) Limited</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吴珊珊</cp:lastModifiedBy>
  <cp:revision>76</cp:revision>
  <cp:lastPrinted>2017-05-18T02:27:00Z</cp:lastPrinted>
  <dcterms:created xsi:type="dcterms:W3CDTF">2017-05-04T10:43:00Z</dcterms:created>
  <dcterms:modified xsi:type="dcterms:W3CDTF">2019-12-19T07:58:00Z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