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eastAsia="方正小标宋简体" w:cs="方正小标宋简体"/>
          <w:sz w:val="44"/>
          <w:szCs w:val="44"/>
        </w:rPr>
      </w:pPr>
      <w:r>
        <w:rPr>
          <w:rFonts w:hint="eastAsia" w:cs="方正小标宋简体" w:eastAsiaTheme="minorEastAsia"/>
          <w:sz w:val="44"/>
          <w:szCs w:val="44"/>
        </w:rPr>
        <w:t xml:space="preserve">  </w:t>
      </w:r>
      <w:r>
        <w:rPr>
          <w:rFonts w:hint="eastAsia" w:eastAsia="方正小标宋简体" w:cs="方正小标宋简体"/>
          <w:sz w:val="44"/>
          <w:szCs w:val="44"/>
        </w:rPr>
        <w:t>高新区（弋江区）加快微电子产业发展政策</w:t>
      </w:r>
    </w:p>
    <w:p>
      <w:pPr>
        <w:spacing w:line="720" w:lineRule="exact"/>
        <w:jc w:val="center"/>
        <w:rPr>
          <w:rFonts w:eastAsia="方正小标宋简体" w:cs="方正小标宋简体"/>
          <w:sz w:val="44"/>
          <w:szCs w:val="44"/>
        </w:rPr>
      </w:pPr>
      <w:r>
        <w:rPr>
          <w:rFonts w:hint="eastAsia" w:eastAsia="方正小标宋简体" w:cs="方正小标宋简体"/>
          <w:sz w:val="44"/>
          <w:szCs w:val="44"/>
        </w:rPr>
        <w:t>（征求意见稿）</w:t>
      </w:r>
    </w:p>
    <w:p>
      <w:pPr>
        <w:spacing w:line="580" w:lineRule="exact"/>
        <w:ind w:firstLine="632" w:firstLineChars="200"/>
        <w:rPr>
          <w:rFonts w:ascii="仿宋_GB2312"/>
        </w:rPr>
      </w:pPr>
    </w:p>
    <w:p>
      <w:pPr>
        <w:spacing w:line="560" w:lineRule="exact"/>
        <w:ind w:firstLine="632" w:firstLineChars="200"/>
      </w:pPr>
      <w:r>
        <w:rPr>
          <w:rFonts w:hint="eastAsia" w:cs="仿宋_GB2312"/>
        </w:rPr>
        <w:t>为全面贯彻落实《国家集成电路产业发展推进纲要》、《安徽省人民政府办公厅关于加快集成电路产业发展的意见》（皖政办〔</w:t>
      </w:r>
      <w:r>
        <w:t>2014</w:t>
      </w:r>
      <w:r>
        <w:rPr>
          <w:rFonts w:hint="eastAsia" w:cs="仿宋_GB2312"/>
        </w:rPr>
        <w:t>〕</w:t>
      </w:r>
      <w:r>
        <w:t>18</w:t>
      </w:r>
      <w:r>
        <w:rPr>
          <w:rFonts w:hint="eastAsia" w:cs="仿宋_GB2312"/>
        </w:rPr>
        <w:t>号）及《芜湖市人民政府关于印发芜湖市产业扶持发展政策（2019年）的通知》（芜政〔</w:t>
      </w:r>
      <w:r>
        <w:t>201</w:t>
      </w:r>
      <w:r>
        <w:rPr>
          <w:rFonts w:hint="eastAsia"/>
        </w:rPr>
        <w:t>9</w:t>
      </w:r>
      <w:r>
        <w:rPr>
          <w:rFonts w:hint="eastAsia" w:cs="仿宋_GB2312"/>
        </w:rPr>
        <w:t>〕</w:t>
      </w:r>
      <w:r>
        <w:rPr>
          <w:rFonts w:hint="eastAsia"/>
        </w:rPr>
        <w:t>36</w:t>
      </w:r>
      <w:r>
        <w:rPr>
          <w:rFonts w:hint="eastAsia" w:cs="仿宋_GB2312"/>
        </w:rPr>
        <w:t>号），加快我区微电子产业发展，结合实际，制定本规定。</w:t>
      </w:r>
    </w:p>
    <w:p>
      <w:pPr>
        <w:pStyle w:val="6"/>
        <w:widowControl/>
        <w:shd w:val="clear" w:color="auto" w:fill="FFFFFF"/>
        <w:spacing w:before="0" w:beforeAutospacing="0" w:after="0" w:afterAutospacing="0" w:line="560" w:lineRule="exact"/>
        <w:ind w:firstLine="632" w:firstLineChars="200"/>
        <w:rPr>
          <w:rFonts w:hAnsi="黑体" w:eastAsia="黑体" w:cs="黑体"/>
        </w:rPr>
      </w:pPr>
      <w:r>
        <w:rPr>
          <w:rFonts w:hint="eastAsia" w:hAnsi="黑体" w:eastAsia="黑体" w:cs="黑体"/>
          <w:kern w:val="2"/>
          <w:sz w:val="32"/>
        </w:rPr>
        <w:t xml:space="preserve">第一条  </w:t>
      </w:r>
      <w:r>
        <w:rPr>
          <w:rFonts w:hint="eastAsia" w:cs="仿宋_GB2312"/>
          <w:kern w:val="2"/>
          <w:sz w:val="32"/>
        </w:rPr>
        <w:t>本意见所涉政策适用于在高新区（弋江区）工商注册、税务登记并从事微电子产业相关研发、生产，包括芯片设计、制造、封装、测试以及配套支撑为主营业务的相关国有、民营及合资企业、机构，且经营场所、工商、税务、统计关系均在高新区（弋江区）。</w:t>
      </w:r>
    </w:p>
    <w:p>
      <w:pPr>
        <w:spacing w:line="560" w:lineRule="exact"/>
        <w:ind w:firstLine="632" w:firstLineChars="200"/>
        <w:rPr>
          <w:bCs/>
          <w:kern w:val="0"/>
        </w:rPr>
      </w:pPr>
      <w:r>
        <w:rPr>
          <w:rFonts w:hint="eastAsia" w:hAnsi="黑体" w:eastAsia="黑体" w:cs="黑体"/>
        </w:rPr>
        <w:t xml:space="preserve">第二条  </w:t>
      </w:r>
      <w:r>
        <w:rPr>
          <w:rFonts w:hint="eastAsia" w:ascii="黑体" w:hAnsi="黑体" w:eastAsia="黑体" w:cs="黑体"/>
        </w:rPr>
        <w:t xml:space="preserve"> </w:t>
      </w:r>
      <w:r>
        <w:rPr>
          <w:bCs/>
          <w:kern w:val="0"/>
        </w:rPr>
        <w:t>强化产业链配套招商，完善上下游产业链。对集成电路重点企业引进具有独立法人资格且单个项目投资额在1000万元以上的配套企业，可按照实际投入资金的5‰给予引进企业奖励，最高不超过100万元。</w:t>
      </w:r>
    </w:p>
    <w:p>
      <w:pPr>
        <w:rPr>
          <w:rFonts w:cs="仿宋_GB2312"/>
          <w:color w:val="FF0000"/>
        </w:rPr>
      </w:pPr>
      <w:r>
        <w:rPr>
          <w:rFonts w:hint="eastAsia" w:hAnsi="黑体" w:eastAsia="黑体" w:cs="黑体"/>
        </w:rPr>
        <w:t xml:space="preserve">    第三条  </w:t>
      </w:r>
      <w:r>
        <w:rPr>
          <w:rFonts w:hint="eastAsia"/>
        </w:rPr>
        <w:t>支持</w:t>
      </w:r>
      <w:r>
        <w:rPr>
          <w:rFonts w:hint="eastAsia" w:cs="仿宋_GB2312"/>
        </w:rPr>
        <w:t>微电子设计企业参与研发的多项目晶圆（</w:t>
      </w:r>
      <w:r>
        <w:t>MPW</w:t>
      </w:r>
      <w:r>
        <w:rPr>
          <w:rFonts w:hint="eastAsia" w:cs="仿宋_GB2312"/>
        </w:rPr>
        <w:t>），可享受最高不超过</w:t>
      </w:r>
      <w:r>
        <w:t>MPW</w:t>
      </w:r>
      <w:r>
        <w:rPr>
          <w:rFonts w:hint="eastAsia" w:cs="仿宋_GB2312"/>
        </w:rPr>
        <w:t>直接费用</w:t>
      </w:r>
      <w:r>
        <w:t>70</w:t>
      </w:r>
      <w:r>
        <w:rPr>
          <w:rFonts w:hint="eastAsia" w:cs="仿宋_GB2312"/>
        </w:rPr>
        <w:t>％（高校或科研院所</w:t>
      </w:r>
      <w:r>
        <w:t>MPW</w:t>
      </w:r>
      <w:r>
        <w:rPr>
          <w:rFonts w:hint="eastAsia" w:cs="仿宋_GB2312"/>
        </w:rPr>
        <w:t>直接费用</w:t>
      </w:r>
      <w:r>
        <w:t>80%</w:t>
      </w:r>
      <w:r>
        <w:rPr>
          <w:rFonts w:hint="eastAsia" w:cs="仿宋_GB2312"/>
        </w:rPr>
        <w:t>）、工程片试流片加工费（含</w:t>
      </w:r>
      <w:r>
        <w:t>IP</w:t>
      </w:r>
      <w:r>
        <w:rPr>
          <w:rFonts w:hint="eastAsia" w:cs="仿宋_GB2312"/>
        </w:rPr>
        <w:t>授权或购置、掩模版制作、流片等）</w:t>
      </w:r>
      <w:r>
        <w:t>30%</w:t>
      </w:r>
      <w:r>
        <w:rPr>
          <w:rFonts w:hint="eastAsia" w:cs="仿宋_GB2312"/>
        </w:rPr>
        <w:t>的补助，每个企业（单位）年度补助总额不超过</w:t>
      </w:r>
      <w:r>
        <w:t>200</w:t>
      </w:r>
      <w:r>
        <w:rPr>
          <w:rFonts w:hint="eastAsia" w:cs="仿宋_GB2312"/>
        </w:rPr>
        <w:t>万元。</w:t>
      </w:r>
    </w:p>
    <w:p>
      <w:pPr>
        <w:ind w:firstLine="632" w:firstLineChars="200"/>
        <w:jc w:val="left"/>
        <w:rPr>
          <w:rFonts w:cs="仿宋_GB2312"/>
        </w:rPr>
      </w:pPr>
      <w:r>
        <w:rPr>
          <w:rFonts w:hint="eastAsia" w:hAnsi="黑体" w:eastAsia="黑体" w:cs="黑体"/>
        </w:rPr>
        <w:t xml:space="preserve">第四条  </w:t>
      </w:r>
      <w:r>
        <w:rPr>
          <w:rFonts w:hint="eastAsia" w:cs="仿宋_GB2312"/>
        </w:rPr>
        <w:t>支持微电子相关企业购买</w:t>
      </w:r>
      <w:r>
        <w:t>IP</w:t>
      </w:r>
      <w:r>
        <w:rPr>
          <w:rFonts w:hint="eastAsia" w:cs="仿宋_GB2312"/>
        </w:rPr>
        <w:t>（</w:t>
      </w:r>
      <w:r>
        <w:t>IP</w:t>
      </w:r>
      <w:r>
        <w:rPr>
          <w:rFonts w:hint="eastAsia" w:cs="仿宋_GB2312"/>
        </w:rPr>
        <w:t>提供商或者</w:t>
      </w:r>
      <w:r>
        <w:t>Foundry IP</w:t>
      </w:r>
      <w:r>
        <w:rPr>
          <w:rFonts w:hint="eastAsia" w:cs="仿宋_GB2312"/>
        </w:rPr>
        <w:t>模块）开展高端芯片、先进或特色工艺研发，给予</w:t>
      </w:r>
      <w:r>
        <w:t>IP</w:t>
      </w:r>
      <w:r>
        <w:rPr>
          <w:rFonts w:hint="eastAsia" w:cs="仿宋_GB2312"/>
        </w:rPr>
        <w:t>购买直接费用</w:t>
      </w:r>
      <w:r>
        <w:t>40%</w:t>
      </w:r>
      <w:r>
        <w:rPr>
          <w:rFonts w:hint="eastAsia" w:cs="仿宋_GB2312"/>
        </w:rPr>
        <w:t>的补贴，单个企业每年总额不超过</w:t>
      </w:r>
      <w:r>
        <w:t>200</w:t>
      </w:r>
      <w:r>
        <w:rPr>
          <w:rFonts w:hint="eastAsia" w:cs="仿宋_GB2312"/>
        </w:rPr>
        <w:t>万元。鼓励第三方</w:t>
      </w:r>
      <w:r>
        <w:t>IC</w:t>
      </w:r>
      <w:r>
        <w:rPr>
          <w:rFonts w:hint="eastAsia" w:cs="仿宋_GB2312"/>
        </w:rPr>
        <w:t>设计平台</w:t>
      </w:r>
      <w:r>
        <w:t>IP</w:t>
      </w:r>
      <w:r>
        <w:rPr>
          <w:rFonts w:hint="eastAsia" w:cs="仿宋_GB2312"/>
        </w:rPr>
        <w:t>复用、共享设计工具软件或测试与分析系统，给予其实际费用</w:t>
      </w:r>
      <w:r>
        <w:t>50%</w:t>
      </w:r>
      <w:r>
        <w:rPr>
          <w:rFonts w:hint="eastAsia" w:cs="仿宋_GB2312"/>
        </w:rPr>
        <w:t>的补助，单个企业年度补助总额不超过</w:t>
      </w:r>
      <w:r>
        <w:t>100</w:t>
      </w:r>
      <w:r>
        <w:rPr>
          <w:rFonts w:hint="eastAsia" w:cs="仿宋_GB2312"/>
        </w:rPr>
        <w:t>万元。</w:t>
      </w:r>
    </w:p>
    <w:p>
      <w:pPr>
        <w:spacing w:line="560" w:lineRule="exact"/>
        <w:ind w:firstLine="632" w:firstLineChars="200"/>
        <w:rPr>
          <w:rFonts w:hint="eastAsia" w:cs="仿宋_GB2312"/>
        </w:rPr>
      </w:pPr>
      <w:r>
        <w:rPr>
          <w:rFonts w:hint="eastAsia" w:hAnsi="黑体" w:eastAsia="黑体" w:cs="黑体"/>
        </w:rPr>
        <w:t xml:space="preserve">第五条 </w:t>
      </w:r>
      <w:r>
        <w:rPr>
          <w:rFonts w:hint="eastAsia" w:cs="仿宋_GB2312"/>
          <w:color w:val="8DB3E2" w:themeColor="text2" w:themeTint="66"/>
        </w:rPr>
        <w:t xml:space="preserve">  </w:t>
      </w:r>
      <w:r>
        <w:rPr>
          <w:rFonts w:hint="eastAsia" w:cs="仿宋_GB2312"/>
        </w:rPr>
        <w:t>微电子产业集聚区相关企事业单位申请的微电子产业领域发明专利，在享受市科技创新系列政策的基础上，年申请量达</w:t>
      </w:r>
      <w:r>
        <w:t>10</w:t>
      </w:r>
      <w:r>
        <w:rPr>
          <w:rFonts w:hint="eastAsia" w:cs="仿宋_GB2312"/>
        </w:rPr>
        <w:t>件、</w:t>
      </w:r>
      <w:r>
        <w:t>20</w:t>
      </w:r>
      <w:r>
        <w:rPr>
          <w:rFonts w:hint="eastAsia" w:cs="仿宋_GB2312"/>
        </w:rPr>
        <w:t>件以上的，分别再给予</w:t>
      </w:r>
      <w:r>
        <w:t>10</w:t>
      </w:r>
      <w:r>
        <w:rPr>
          <w:rFonts w:hint="eastAsia" w:cs="仿宋_GB2312"/>
        </w:rPr>
        <w:t>万元、</w:t>
      </w:r>
      <w:r>
        <w:t>20</w:t>
      </w:r>
      <w:r>
        <w:rPr>
          <w:rFonts w:hint="eastAsia" w:cs="仿宋_GB2312"/>
        </w:rPr>
        <w:t>万元奖励；年授权量达</w:t>
      </w:r>
      <w:r>
        <w:t>5</w:t>
      </w:r>
      <w:r>
        <w:rPr>
          <w:rFonts w:hint="eastAsia" w:cs="仿宋_GB2312"/>
        </w:rPr>
        <w:t>件、</w:t>
      </w:r>
      <w:r>
        <w:t>10</w:t>
      </w:r>
      <w:r>
        <w:rPr>
          <w:rFonts w:hint="eastAsia" w:cs="仿宋_GB2312"/>
        </w:rPr>
        <w:t>件以上的，分别再给予</w:t>
      </w:r>
      <w:r>
        <w:t>10</w:t>
      </w:r>
      <w:r>
        <w:rPr>
          <w:rFonts w:hint="eastAsia" w:cs="仿宋_GB2312"/>
        </w:rPr>
        <w:t>万元、</w:t>
      </w:r>
      <w:r>
        <w:t>20</w:t>
      </w:r>
      <w:r>
        <w:rPr>
          <w:rFonts w:hint="eastAsia" w:cs="仿宋_GB2312"/>
        </w:rPr>
        <w:t>万元奖励；</w:t>
      </w:r>
      <w:r>
        <w:rPr>
          <w:rFonts w:hint="eastAsia" w:cs="仿宋_GB2312"/>
          <w:lang w:eastAsia="zh-CN"/>
        </w:rPr>
        <w:t>又</w:t>
      </w:r>
      <w:bookmarkStart w:id="0" w:name="_GoBack"/>
      <w:bookmarkEnd w:id="0"/>
      <w:r>
        <w:rPr>
          <w:rFonts w:hint="eastAsia" w:cs="仿宋_GB2312"/>
        </w:rPr>
        <w:t>被授予国外发明专利的，每件发明专利每经一国授予再给予</w:t>
      </w:r>
      <w:r>
        <w:t>5</w:t>
      </w:r>
      <w:r>
        <w:rPr>
          <w:rFonts w:hint="eastAsia" w:cs="仿宋_GB2312"/>
        </w:rPr>
        <w:t>万元奖励，单个企业最高不超过</w:t>
      </w:r>
      <w:r>
        <w:t>15</w:t>
      </w:r>
      <w:r>
        <w:rPr>
          <w:rFonts w:hint="eastAsia" w:cs="仿宋_GB2312"/>
        </w:rPr>
        <w:t>万元。</w:t>
      </w:r>
    </w:p>
    <w:p>
      <w:pPr>
        <w:spacing w:line="560" w:lineRule="exact"/>
        <w:ind w:firstLine="632" w:firstLineChars="200"/>
        <w:rPr>
          <w:color w:val="FF0000"/>
          <w:kern w:val="0"/>
          <w:u w:val="single"/>
        </w:rPr>
      </w:pPr>
      <w:r>
        <w:rPr>
          <w:rFonts w:hint="eastAsia" w:hAnsi="黑体" w:eastAsia="黑体" w:cs="黑体"/>
        </w:rPr>
        <w:t xml:space="preserve">第六条  </w:t>
      </w:r>
      <w:r>
        <w:rPr>
          <w:rFonts w:hint="eastAsia" w:cs="仿宋_GB2312"/>
        </w:rPr>
        <w:t>年度营业收入首次超过</w:t>
      </w:r>
      <w:r>
        <w:t>5000</w:t>
      </w:r>
      <w:r>
        <w:rPr>
          <w:rFonts w:hint="eastAsia" w:cs="仿宋_GB2312"/>
        </w:rPr>
        <w:t>万元、</w:t>
      </w:r>
      <w:r>
        <w:t>1</w:t>
      </w:r>
      <w:r>
        <w:rPr>
          <w:rFonts w:hint="eastAsia" w:cs="仿宋_GB2312"/>
        </w:rPr>
        <w:t>亿元、</w:t>
      </w:r>
      <w:r>
        <w:t>5</w:t>
      </w:r>
      <w:r>
        <w:rPr>
          <w:rFonts w:hint="eastAsia" w:cs="仿宋_GB2312"/>
        </w:rPr>
        <w:t>亿元、</w:t>
      </w:r>
      <w:r>
        <w:t>10</w:t>
      </w:r>
      <w:r>
        <w:rPr>
          <w:rFonts w:hint="eastAsia" w:cs="仿宋_GB2312"/>
        </w:rPr>
        <w:t>亿元的（其中，微电子设计企业年度销售额首次超过</w:t>
      </w:r>
      <w:r>
        <w:t>1000</w:t>
      </w:r>
      <w:r>
        <w:rPr>
          <w:rFonts w:hint="eastAsia" w:cs="仿宋_GB2312"/>
        </w:rPr>
        <w:t>万元、</w:t>
      </w:r>
      <w:r>
        <w:t>3000</w:t>
      </w:r>
      <w:r>
        <w:rPr>
          <w:rFonts w:hint="eastAsia" w:cs="仿宋_GB2312"/>
        </w:rPr>
        <w:t>万元、</w:t>
      </w:r>
      <w:r>
        <w:t>5000</w:t>
      </w:r>
      <w:r>
        <w:rPr>
          <w:rFonts w:hint="eastAsia" w:cs="仿宋_GB2312"/>
        </w:rPr>
        <w:t>万元、</w:t>
      </w:r>
      <w:r>
        <w:t>1</w:t>
      </w:r>
      <w:r>
        <w:rPr>
          <w:rFonts w:hint="eastAsia" w:cs="仿宋_GB2312"/>
        </w:rPr>
        <w:t>亿元的），结合其纳税额等贡献情况，分别给予企业最高不超过</w:t>
      </w:r>
      <w:r>
        <w:rPr>
          <w:rFonts w:hint="eastAsia"/>
        </w:rPr>
        <w:t>5</w:t>
      </w:r>
      <w:r>
        <w:t>0</w:t>
      </w:r>
      <w:r>
        <w:rPr>
          <w:rFonts w:hint="eastAsia" w:cs="仿宋_GB2312"/>
        </w:rPr>
        <w:t>万元、</w:t>
      </w:r>
      <w:r>
        <w:rPr>
          <w:rFonts w:hint="eastAsia"/>
        </w:rPr>
        <w:t>1</w:t>
      </w:r>
      <w:r>
        <w:t>00</w:t>
      </w:r>
      <w:r>
        <w:rPr>
          <w:rFonts w:hint="eastAsia" w:cs="仿宋_GB2312"/>
        </w:rPr>
        <w:t>万元、</w:t>
      </w:r>
      <w:r>
        <w:rPr>
          <w:rFonts w:hint="eastAsia"/>
        </w:rPr>
        <w:t>200</w:t>
      </w:r>
      <w:r>
        <w:rPr>
          <w:rFonts w:hint="eastAsia" w:cs="仿宋_GB2312"/>
        </w:rPr>
        <w:t>万元、</w:t>
      </w:r>
      <w:r>
        <w:rPr>
          <w:rFonts w:hint="eastAsia"/>
        </w:rPr>
        <w:t>3</w:t>
      </w:r>
      <w:r>
        <w:t>00</w:t>
      </w:r>
      <w:r>
        <w:rPr>
          <w:rFonts w:hint="eastAsia" w:cs="仿宋_GB2312"/>
        </w:rPr>
        <w:t>万元的一次性奖励。</w:t>
      </w:r>
    </w:p>
    <w:p>
      <w:pPr>
        <w:pStyle w:val="6"/>
        <w:widowControl/>
        <w:shd w:val="clear" w:color="auto" w:fill="FFFFFF"/>
        <w:spacing w:before="0" w:beforeAutospacing="0" w:after="0" w:afterAutospacing="0" w:line="560" w:lineRule="exact"/>
        <w:ind w:firstLine="632" w:firstLineChars="200"/>
        <w:rPr>
          <w:rFonts w:hint="eastAsia" w:cs="仿宋_GB2312"/>
          <w:kern w:val="2"/>
          <w:sz w:val="32"/>
        </w:rPr>
      </w:pPr>
      <w:r>
        <w:rPr>
          <w:rFonts w:hint="eastAsia" w:hAnsi="黑体" w:eastAsia="黑体" w:cs="黑体"/>
          <w:kern w:val="2"/>
          <w:sz w:val="32"/>
        </w:rPr>
        <w:t xml:space="preserve">第七条  </w:t>
      </w:r>
      <w:r>
        <w:rPr>
          <w:rFonts w:hint="eastAsia" w:cs="仿宋_GB2312"/>
          <w:kern w:val="2"/>
          <w:sz w:val="32"/>
        </w:rPr>
        <w:t>支持企业联动发展。对芜湖高新区内微电子企业或整机企业首次采购芜湖高新区内集成电路企业芯片或模组进行研发生产的，按照实际交易金额的10%，给予采购方补贴，单个企业年度补贴总额不超过100万元。</w:t>
      </w:r>
    </w:p>
    <w:p>
      <w:pPr>
        <w:pStyle w:val="6"/>
        <w:widowControl/>
        <w:shd w:val="clear" w:color="auto" w:fill="FFFFFF"/>
        <w:spacing w:before="0" w:beforeAutospacing="0" w:after="0" w:afterAutospacing="0" w:line="560" w:lineRule="exact"/>
        <w:ind w:firstLine="632" w:firstLineChars="200"/>
        <w:rPr>
          <w:color w:val="FF0000"/>
          <w:u w:val="single"/>
        </w:rPr>
      </w:pPr>
      <w:r>
        <w:rPr>
          <w:rFonts w:hint="eastAsia" w:hAnsi="黑体" w:eastAsia="黑体" w:cs="黑体"/>
          <w:kern w:val="2"/>
          <w:sz w:val="32"/>
        </w:rPr>
        <w:t>第八条</w:t>
      </w:r>
      <w:r>
        <w:rPr>
          <w:rFonts w:hint="eastAsia" w:cs="仿宋_GB2312"/>
          <w:kern w:val="2"/>
          <w:sz w:val="32"/>
        </w:rPr>
        <w:t xml:space="preserve">  芜湖高新区投资基金优先投资微电子企业，积极协调各类金融机构为企业申请青年创业引导资金、助保贷、银政担等金融产品。对微电子设计企业通过担保机构贷款融资的，按企业缴纳担保费的50%给予补贴，单家企业每年补贴不超过100万元。</w:t>
      </w:r>
    </w:p>
    <w:p>
      <w:pPr>
        <w:spacing w:line="560" w:lineRule="exact"/>
        <w:ind w:firstLine="632" w:firstLineChars="200"/>
        <w:rPr>
          <w:rFonts w:cs="仿宋_GB2312"/>
        </w:rPr>
      </w:pPr>
      <w:r>
        <w:rPr>
          <w:rFonts w:hint="eastAsia" w:ascii="黑体" w:hAnsi="黑体" w:eastAsia="黑体" w:cs="黑体"/>
        </w:rPr>
        <w:t>第九条</w:t>
      </w:r>
      <w:r>
        <w:rPr>
          <w:rFonts w:hint="eastAsia" w:cs="仿宋_GB2312"/>
        </w:rPr>
        <w:t xml:space="preserve">  对市场前景好、产业升级带动作用强、地方经济发展支撑力特别重大的产业项目，参照《芜湖市重大招商项目“一事一议”实施办法》执行。</w:t>
      </w:r>
    </w:p>
    <w:p>
      <w:pPr>
        <w:spacing w:line="560" w:lineRule="exact"/>
        <w:ind w:firstLine="632" w:firstLineChars="200"/>
        <w:rPr>
          <w:rFonts w:hAnsi="黑体" w:eastAsia="黑体" w:cs="黑体"/>
        </w:rPr>
      </w:pPr>
      <w:r>
        <w:rPr>
          <w:rFonts w:hint="eastAsia" w:hAnsi="黑体" w:eastAsia="黑体" w:cs="黑体"/>
        </w:rPr>
        <w:t xml:space="preserve">第十条  </w:t>
      </w:r>
      <w:r>
        <w:rPr>
          <w:rFonts w:hint="eastAsia"/>
          <w:kern w:val="0"/>
          <w:szCs w:val="21"/>
        </w:rPr>
        <w:t>相关项目在享受省、市各项支持中，按就高不就低的原则执行，不重复享受。本规定涉及的奖补资金，经市发改委、市财政局审核同意后，由市财政给予40%配套支持。</w:t>
      </w:r>
    </w:p>
    <w:p>
      <w:pPr>
        <w:spacing w:line="560" w:lineRule="exact"/>
        <w:ind w:firstLine="632" w:firstLineChars="200"/>
      </w:pPr>
      <w:r>
        <w:rPr>
          <w:rFonts w:hint="eastAsia" w:hAnsi="黑体" w:eastAsia="黑体" w:cs="黑体"/>
        </w:rPr>
        <w:t xml:space="preserve">第十一条  </w:t>
      </w:r>
      <w:r>
        <w:rPr>
          <w:rFonts w:hint="eastAsia" w:cs="仿宋_GB2312"/>
        </w:rPr>
        <w:t>本规定自发布之日起施行，实施过程中的具体问题由区发改委、区财政局共同解释，每年根据执行情况对本规定进行修订。</w:t>
      </w:r>
    </w:p>
    <w:p>
      <w:pPr>
        <w:spacing w:line="560" w:lineRule="exact"/>
        <w:ind w:firstLine="632" w:firstLineChars="200"/>
      </w:pPr>
      <w:r>
        <w:rPr>
          <w:rFonts w:hint="eastAsia" w:hAnsi="黑体" w:eastAsia="黑体" w:cs="黑体"/>
        </w:rPr>
        <w:t xml:space="preserve">第十二条  </w:t>
      </w:r>
      <w:r>
        <w:rPr>
          <w:rFonts w:hint="eastAsia" w:cs="仿宋_GB2312"/>
        </w:rPr>
        <w:t>本政策从2020年度起试行，试行期1年。</w:t>
      </w:r>
    </w:p>
    <w:p>
      <w:pPr>
        <w:spacing w:line="560" w:lineRule="exact"/>
        <w:rPr>
          <w:rFonts w:eastAsia="黑体"/>
          <w:sz w:val="28"/>
          <w:szCs w:val="28"/>
        </w:rPr>
      </w:pPr>
    </w:p>
    <w:sectPr>
      <w:footerReference r:id="rId3" w:type="default"/>
      <w:footerReference r:id="rId4" w:type="even"/>
      <w:pgSz w:w="11906" w:h="16838"/>
      <w:pgMar w:top="1985" w:right="1474" w:bottom="1871" w:left="1588"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EC7584-F7BC-498B-BFB0-B5E935D8E6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8B516ED2-69CD-4B76-9405-DDC4D6A17BEC}"/>
  </w:font>
  <w:font w:name="方正小标宋简体">
    <w:altName w:val="仿宋_GB2312"/>
    <w:panose1 w:val="00000000000000000000"/>
    <w:charset w:val="86"/>
    <w:family w:val="script"/>
    <w:pitch w:val="default"/>
    <w:sig w:usb0="00000000" w:usb1="00000000" w:usb2="00000000" w:usb3="00000000" w:csb0="00000000" w:csb1="00000000"/>
    <w:embedRegular r:id="rId3" w:fontKey="{160AC343-AE36-4E76-A400-CABEF4173A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3</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BF75EF"/>
    <w:rsid w:val="00001EDD"/>
    <w:rsid w:val="000346A6"/>
    <w:rsid w:val="00041202"/>
    <w:rsid w:val="00050E22"/>
    <w:rsid w:val="00056E2F"/>
    <w:rsid w:val="000902A9"/>
    <w:rsid w:val="000908F5"/>
    <w:rsid w:val="000C048D"/>
    <w:rsid w:val="0011133D"/>
    <w:rsid w:val="00195FE2"/>
    <w:rsid w:val="00200A03"/>
    <w:rsid w:val="00214B76"/>
    <w:rsid w:val="00220418"/>
    <w:rsid w:val="002371E9"/>
    <w:rsid w:val="002626FF"/>
    <w:rsid w:val="00282CF8"/>
    <w:rsid w:val="002A21FD"/>
    <w:rsid w:val="002A3E35"/>
    <w:rsid w:val="002F6138"/>
    <w:rsid w:val="002F7B06"/>
    <w:rsid w:val="003111E0"/>
    <w:rsid w:val="0038014E"/>
    <w:rsid w:val="003E1CC3"/>
    <w:rsid w:val="00422367"/>
    <w:rsid w:val="004B3247"/>
    <w:rsid w:val="004E1189"/>
    <w:rsid w:val="005A1968"/>
    <w:rsid w:val="00620601"/>
    <w:rsid w:val="0065579B"/>
    <w:rsid w:val="006C2103"/>
    <w:rsid w:val="006D2648"/>
    <w:rsid w:val="00701933"/>
    <w:rsid w:val="007C7A29"/>
    <w:rsid w:val="007E57F3"/>
    <w:rsid w:val="008019D4"/>
    <w:rsid w:val="00812386"/>
    <w:rsid w:val="00836122"/>
    <w:rsid w:val="00870AEF"/>
    <w:rsid w:val="008C36E3"/>
    <w:rsid w:val="008C591C"/>
    <w:rsid w:val="008E563F"/>
    <w:rsid w:val="008F62B7"/>
    <w:rsid w:val="009069F0"/>
    <w:rsid w:val="00967065"/>
    <w:rsid w:val="009670FC"/>
    <w:rsid w:val="00967F38"/>
    <w:rsid w:val="0097568C"/>
    <w:rsid w:val="009C7C2B"/>
    <w:rsid w:val="00A56676"/>
    <w:rsid w:val="00A86956"/>
    <w:rsid w:val="00A94362"/>
    <w:rsid w:val="00A972E2"/>
    <w:rsid w:val="00AE5081"/>
    <w:rsid w:val="00AF2BBD"/>
    <w:rsid w:val="00B11BC7"/>
    <w:rsid w:val="00B51A8A"/>
    <w:rsid w:val="00B712A9"/>
    <w:rsid w:val="00B95139"/>
    <w:rsid w:val="00BE1482"/>
    <w:rsid w:val="00C16B31"/>
    <w:rsid w:val="00C30AA0"/>
    <w:rsid w:val="00C83A0A"/>
    <w:rsid w:val="00C96695"/>
    <w:rsid w:val="00CE258B"/>
    <w:rsid w:val="00D1023D"/>
    <w:rsid w:val="00D27E0F"/>
    <w:rsid w:val="00D95F3B"/>
    <w:rsid w:val="00DA13AD"/>
    <w:rsid w:val="00DA6843"/>
    <w:rsid w:val="00DB1896"/>
    <w:rsid w:val="00DE2720"/>
    <w:rsid w:val="00E136BC"/>
    <w:rsid w:val="00E43A5C"/>
    <w:rsid w:val="00E53C20"/>
    <w:rsid w:val="00E8219F"/>
    <w:rsid w:val="00EA7A55"/>
    <w:rsid w:val="00EB1CF2"/>
    <w:rsid w:val="00EB6D52"/>
    <w:rsid w:val="00F47FE8"/>
    <w:rsid w:val="00F54C7B"/>
    <w:rsid w:val="00FA3282"/>
    <w:rsid w:val="00FD6A63"/>
    <w:rsid w:val="00FE126B"/>
    <w:rsid w:val="00FE316E"/>
    <w:rsid w:val="01FF7663"/>
    <w:rsid w:val="0228792D"/>
    <w:rsid w:val="029A4C4A"/>
    <w:rsid w:val="030C7BAF"/>
    <w:rsid w:val="044F2FF9"/>
    <w:rsid w:val="05B46241"/>
    <w:rsid w:val="064052EF"/>
    <w:rsid w:val="06CA261B"/>
    <w:rsid w:val="09062617"/>
    <w:rsid w:val="0B9D21DE"/>
    <w:rsid w:val="0C990894"/>
    <w:rsid w:val="0CB771E7"/>
    <w:rsid w:val="0EA66055"/>
    <w:rsid w:val="0F065743"/>
    <w:rsid w:val="0F0A79D8"/>
    <w:rsid w:val="121F5B34"/>
    <w:rsid w:val="12E71A47"/>
    <w:rsid w:val="12F24BEE"/>
    <w:rsid w:val="13154D09"/>
    <w:rsid w:val="13350D6F"/>
    <w:rsid w:val="13AB6C1F"/>
    <w:rsid w:val="143571D0"/>
    <w:rsid w:val="14CB1C43"/>
    <w:rsid w:val="18452370"/>
    <w:rsid w:val="18ED41BD"/>
    <w:rsid w:val="18FE3EF6"/>
    <w:rsid w:val="19093CBB"/>
    <w:rsid w:val="19D35467"/>
    <w:rsid w:val="1B252100"/>
    <w:rsid w:val="1B945F91"/>
    <w:rsid w:val="1BA0209F"/>
    <w:rsid w:val="1C453E8E"/>
    <w:rsid w:val="1C5139F3"/>
    <w:rsid w:val="1C767900"/>
    <w:rsid w:val="1CDF3747"/>
    <w:rsid w:val="1D4471BF"/>
    <w:rsid w:val="1E186116"/>
    <w:rsid w:val="1E51111C"/>
    <w:rsid w:val="1F215EEF"/>
    <w:rsid w:val="1F6A7037"/>
    <w:rsid w:val="1F9D2745"/>
    <w:rsid w:val="20CB079A"/>
    <w:rsid w:val="21550E0B"/>
    <w:rsid w:val="21586725"/>
    <w:rsid w:val="257E3A1B"/>
    <w:rsid w:val="25BC515A"/>
    <w:rsid w:val="269727C2"/>
    <w:rsid w:val="27BD1C7B"/>
    <w:rsid w:val="2A614887"/>
    <w:rsid w:val="2A6415C7"/>
    <w:rsid w:val="2B5F2001"/>
    <w:rsid w:val="2BA36D38"/>
    <w:rsid w:val="2BF853C8"/>
    <w:rsid w:val="2D495242"/>
    <w:rsid w:val="2DF11520"/>
    <w:rsid w:val="2E654DAE"/>
    <w:rsid w:val="2E776459"/>
    <w:rsid w:val="2ED714CE"/>
    <w:rsid w:val="2EE33F81"/>
    <w:rsid w:val="2EF74308"/>
    <w:rsid w:val="2F4B27BE"/>
    <w:rsid w:val="2FFB69D4"/>
    <w:rsid w:val="306A5026"/>
    <w:rsid w:val="312A3D75"/>
    <w:rsid w:val="3222233D"/>
    <w:rsid w:val="32932752"/>
    <w:rsid w:val="352E04C2"/>
    <w:rsid w:val="370F5B66"/>
    <w:rsid w:val="385D4676"/>
    <w:rsid w:val="387C6B7B"/>
    <w:rsid w:val="38A62C4D"/>
    <w:rsid w:val="38C02CDD"/>
    <w:rsid w:val="3ABB4252"/>
    <w:rsid w:val="3B37410C"/>
    <w:rsid w:val="3D217A0A"/>
    <w:rsid w:val="3F0A7EF6"/>
    <w:rsid w:val="3F2F455C"/>
    <w:rsid w:val="3F614BE8"/>
    <w:rsid w:val="3F6261B4"/>
    <w:rsid w:val="418027AC"/>
    <w:rsid w:val="426B2488"/>
    <w:rsid w:val="43393DFA"/>
    <w:rsid w:val="441835F0"/>
    <w:rsid w:val="450C72E8"/>
    <w:rsid w:val="45E81EE4"/>
    <w:rsid w:val="475A6744"/>
    <w:rsid w:val="481A68E2"/>
    <w:rsid w:val="499E3E43"/>
    <w:rsid w:val="4A181EB7"/>
    <w:rsid w:val="4B5E3A6C"/>
    <w:rsid w:val="4D253E53"/>
    <w:rsid w:val="4D497BF8"/>
    <w:rsid w:val="4DB3412D"/>
    <w:rsid w:val="4DF07CB0"/>
    <w:rsid w:val="4E8C21E9"/>
    <w:rsid w:val="4F0E23C3"/>
    <w:rsid w:val="51BC6170"/>
    <w:rsid w:val="522C69F3"/>
    <w:rsid w:val="52BF75EF"/>
    <w:rsid w:val="543321F8"/>
    <w:rsid w:val="5524331A"/>
    <w:rsid w:val="55EE27DA"/>
    <w:rsid w:val="56097D01"/>
    <w:rsid w:val="56F7629D"/>
    <w:rsid w:val="57311991"/>
    <w:rsid w:val="59EE436F"/>
    <w:rsid w:val="5A0E5B11"/>
    <w:rsid w:val="5A43691B"/>
    <w:rsid w:val="5B3D369F"/>
    <w:rsid w:val="5DEB5FF3"/>
    <w:rsid w:val="5FA346A4"/>
    <w:rsid w:val="619B5E22"/>
    <w:rsid w:val="61FD03AB"/>
    <w:rsid w:val="62ED410E"/>
    <w:rsid w:val="64646E0D"/>
    <w:rsid w:val="671871C3"/>
    <w:rsid w:val="683A761A"/>
    <w:rsid w:val="68966495"/>
    <w:rsid w:val="69C3602C"/>
    <w:rsid w:val="6A9D374C"/>
    <w:rsid w:val="6AA56595"/>
    <w:rsid w:val="6AE353E7"/>
    <w:rsid w:val="6AF635CC"/>
    <w:rsid w:val="6B0D4F55"/>
    <w:rsid w:val="6B3B7895"/>
    <w:rsid w:val="6BFB3DE8"/>
    <w:rsid w:val="6CE56029"/>
    <w:rsid w:val="6D502B84"/>
    <w:rsid w:val="6D55319A"/>
    <w:rsid w:val="6DD736FA"/>
    <w:rsid w:val="70360EB2"/>
    <w:rsid w:val="70814D30"/>
    <w:rsid w:val="7084037B"/>
    <w:rsid w:val="71692CDA"/>
    <w:rsid w:val="7385610B"/>
    <w:rsid w:val="768F626D"/>
    <w:rsid w:val="799C4A9C"/>
    <w:rsid w:val="79CA246E"/>
    <w:rsid w:val="7A7F6045"/>
    <w:rsid w:val="7CD15EFA"/>
    <w:rsid w:val="7DAC4C43"/>
    <w:rsid w:val="7FEF01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眉 Char"/>
    <w:basedOn w:val="8"/>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279B0-CEF5-4820-AB9D-82A83CD667B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234</Words>
  <Characters>1336</Characters>
  <Lines>11</Lines>
  <Paragraphs>3</Paragraphs>
  <TotalTime>407</TotalTime>
  <ScaleCrop>false</ScaleCrop>
  <LinksUpToDate>false</LinksUpToDate>
  <CharactersWithSpaces>1567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2020-01-17T09:08:00Z</dcterms:created>
  <dc:creator>一路顺风rj</dc:creator>
  <cp:lastModifiedBy>朗萤</cp:lastModifiedBy>
  <cp:lastPrinted>2020-03-09T08:19:00Z</cp:lastPrinted>
  <dcterms:modified xsi:type="dcterms:W3CDTF">2020-04-26T08:42:00Z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