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弋江区促进商贸流通和服务贸易产业发展的若干实施意见(2020-2021)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2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为进一步优化商贸流通和服务贸易产业发展环境，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促进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产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业转型升级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，增强经济发展活力，结合我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区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实际，制订本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意见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highlight w:val="none"/>
          <w:lang w:val="en-US" w:eastAsia="zh-CN" w:bidi="ar"/>
        </w:rPr>
        <w:t>一、适用范围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本意见适用于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弋江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区登记注册、依法纳税、诚信守法，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有健全的财务制度、具有独立法人资格、实行独立核算并具备一般纳税人资格的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商贸流通和服务贸易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类企业。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2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highlight w:val="none"/>
          <w:lang w:val="en-US" w:eastAsia="zh-CN" w:bidi="ar"/>
        </w:rPr>
        <w:t>二、政策措施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培育和壮大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商贸流通</w:t>
      </w:r>
      <w:r>
        <w:rPr>
          <w:rFonts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经营主体。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1.对年主营业务收入首次达到3000万元、5000万元、1亿元并纳入限额以上统计的商贸流通类企业，分别给予5万元、10万元、15万元的一次性奖励。对跨境电商年网络销售额首次达到300万美元、1000万美元、2000万美元并纳入限上统计的，分别给予10万元、20万元、30万元的一次性奖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2.对纳入规模以上服务业，年主营业务收入达500万元、1000万元、2000万元的电子商务服务企业（提供代运营、营销推广、大数据、信用、培训、直播等服务），分别给予5万元、10万元、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万元的一次性奖励。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3.对获得国家级跨境电商示范园区或示范企业称号的，给予50万元的一次性配套奖励；对获得省级跨境电商示范园区或示范企业称号的，给予30万元一次性配套奖励；对获得市级跨境电商示范园区或示范企业称号的，给予10万元的一次性配套奖励；对获得区级跨境电商示范园区称号的，给予2万元一次性配套奖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4.对通过招商引资落户我区的（市区以外）电子商务企业，成功纳入限额以上统计的，经认定年主营业务收入超过5000万元，给予租赁办公用房租金补助，前3年补助100%，后2年补助50%，补助面积最多不超过2000平方米，单个企业五年租金累计补助不超过100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5.对弋江区企业委托第三方服务企业通过直播方式销售产品，且年直播纳税销售额100万元以上的，对其支付的佣金给予10%的补助，单个企业每年补助不超过20万元；企业委托第三方服务企业通过跨境直播方式销售产品，且出口跨境电子商务线上交易额达到50万美元以上的，对其支付的佣金给予10%补助，单个企业每年补助不超过20万元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对企业采用自播方式销售产品，且年直播纳税销售额20万元以上的，给予一次性1万元奖励；对采用自播方式销售自有品牌产品的，直播纳税销售额达500万-1000万元、1000万-3000万元、3000万元-5000万元、5000万元以上的，分别给予5万、10万、30万、50万元奖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  <w:lang w:val="en-US" w:eastAsia="zh-CN" w:bidi="ar"/>
        </w:rPr>
        <w:t>（二）发展软件及服务外包产业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</w:rPr>
        <w:t>凡租</w:t>
      </w:r>
      <w:r>
        <w:rPr>
          <w:rFonts w:hint="eastAsia" w:ascii="仿宋_GB2312" w:eastAsia="仿宋_GB2312"/>
          <w:sz w:val="32"/>
          <w:szCs w:val="32"/>
          <w:highlight w:val="none"/>
        </w:rPr>
        <w:t>赁我</w:t>
      </w:r>
      <w:r>
        <w:rPr>
          <w:rFonts w:hint="eastAsia" w:ascii="仿宋_GB2312" w:eastAsia="仿宋_GB2312"/>
          <w:sz w:val="32"/>
          <w:szCs w:val="32"/>
        </w:rPr>
        <w:t>区国有产权办公场地的新注册软件及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服务外包企业（</w:t>
      </w:r>
      <w:r>
        <w:rPr>
          <w:rFonts w:ascii="仿宋_GB2312" w:eastAsia="仿宋_GB2312"/>
          <w:sz w:val="32"/>
          <w:szCs w:val="32"/>
        </w:rPr>
        <w:t>纳入商务部“服务外包管理信息系统”统计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当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年执行金额达到50万美元以上，第一年补贴场地租金100%；第二年补贴场地租金80%；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第三年补贴场地租金50%。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8.</w:t>
      </w:r>
      <w:r>
        <w:rPr>
          <w:rFonts w:hint="eastAsia" w:ascii="仿宋_GB2312" w:eastAsia="仿宋_GB2312" w:cs="仿宋_GB2312"/>
          <w:b w:val="0"/>
          <w:bCs/>
          <w:kern w:val="0"/>
          <w:sz w:val="32"/>
          <w:szCs w:val="32"/>
        </w:rPr>
        <w:t>对</w:t>
      </w:r>
      <w:r>
        <w:rPr>
          <w:rFonts w:ascii="仿宋_GB2312" w:eastAsia="仿宋_GB2312"/>
          <w:b w:val="0"/>
          <w:bCs/>
          <w:sz w:val="32"/>
          <w:szCs w:val="32"/>
        </w:rPr>
        <w:t>纳入商务部“服务外包管理信息系统”统计</w:t>
      </w:r>
      <w:r>
        <w:rPr>
          <w:rFonts w:hint="eastAsia" w:ascii="仿宋_GB2312" w:eastAsia="仿宋_GB2312"/>
          <w:b w:val="0"/>
          <w:bCs/>
          <w:sz w:val="32"/>
          <w:szCs w:val="32"/>
        </w:rPr>
        <w:t>的，当年服务</w:t>
      </w:r>
      <w:r>
        <w:rPr>
          <w:rFonts w:hint="eastAsia" w:ascii="仿宋_GB2312" w:eastAsia="仿宋_GB2312"/>
          <w:sz w:val="32"/>
          <w:szCs w:val="32"/>
        </w:rPr>
        <w:t>外包执行金额达到500万美元（含）以上且在全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排名前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名的服务外包企业，分别给予30万、25万元、20万元一次性奖励。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</w:t>
      </w:r>
      <w:r>
        <w:rPr>
          <w:rFonts w:ascii="仿宋_GB2312" w:eastAsia="仿宋_GB2312"/>
          <w:sz w:val="32"/>
          <w:szCs w:val="32"/>
        </w:rPr>
        <w:t>当年通过软件能力成熟度模型（CMM）、开发能力成熟度模型集成（CMMI）、人力资源成熟度模型（PCMM）、信息安全管理（IS027001/BS7799）、IT服务管理（IS020000）、服务提供商环境安全性（SAS70）、质量管理体系要求（ISO9001）等相关认证的</w:t>
      </w:r>
      <w:r>
        <w:rPr>
          <w:rFonts w:hint="eastAsia" w:ascii="仿宋_GB2312" w:eastAsia="仿宋_GB2312"/>
          <w:sz w:val="32"/>
          <w:szCs w:val="32"/>
        </w:rPr>
        <w:t>我区软件及服务外包</w:t>
      </w:r>
      <w:r>
        <w:rPr>
          <w:rFonts w:ascii="仿宋_GB2312" w:eastAsia="仿宋_GB2312"/>
          <w:sz w:val="32"/>
          <w:szCs w:val="32"/>
        </w:rPr>
        <w:t>企业，按照实际认证费用的50%的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给予</w:t>
      </w:r>
      <w:r>
        <w:rPr>
          <w:rFonts w:ascii="仿宋_GB2312" w:eastAsia="仿宋_GB2312"/>
          <w:sz w:val="32"/>
          <w:szCs w:val="32"/>
        </w:rPr>
        <w:t>一次性奖励，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单个企业奖励</w:t>
      </w:r>
      <w:r>
        <w:rPr>
          <w:rFonts w:ascii="仿宋_GB2312" w:eastAsia="仿宋_GB2312"/>
          <w:sz w:val="32"/>
          <w:szCs w:val="32"/>
        </w:rPr>
        <w:t>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</w:t>
      </w:r>
      <w:r>
        <w:rPr>
          <w:rFonts w:ascii="仿宋_GB2312" w:eastAsia="仿宋_GB2312"/>
          <w:sz w:val="32"/>
          <w:szCs w:val="32"/>
        </w:rPr>
        <w:t>不超过 30万元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2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三、其他事项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（一）对年度内发生安全生产事故、产品质量事故，发现有偷税漏税等违法行为的，取消享受政策资格；对发现以虚假手段骗取奖补资金的，依法予以追回并追究法律责任。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）奖补对象同一事项涉及各级政府多级政策扶持的，按从高不重复原则执行。若区级奖补金额高出市级及以上奖补金额，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应先申请市级以上部分的政策奖补，不足部分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则由我区补齐差额。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（三）本意见内容条款由区商务局负责解释，区财政局负责资金保障，自20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21年1月1日起实施，有效期一年。专项资金申报具体细则由区商务局会同区财政局另行制定。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1499E"/>
    <w:rsid w:val="06F46BDA"/>
    <w:rsid w:val="0CC1499E"/>
    <w:rsid w:val="0D4919D3"/>
    <w:rsid w:val="1C30735C"/>
    <w:rsid w:val="28730CEA"/>
    <w:rsid w:val="28C97BF9"/>
    <w:rsid w:val="2C254C1F"/>
    <w:rsid w:val="446D6307"/>
    <w:rsid w:val="5113541E"/>
    <w:rsid w:val="57463AB7"/>
    <w:rsid w:val="5DA76E4B"/>
    <w:rsid w:val="6C55155E"/>
    <w:rsid w:val="6E704B6D"/>
    <w:rsid w:val="7B53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2020-12-17T07:11:00Z</dcterms:created>
  <dc:creator>lenovo</dc:creator>
  <cp:lastModifiedBy>19965538370</cp:lastModifiedBy>
  <cp:lastPrinted>2021-01-25T09:05:00Z</cp:lastPrinted>
  <dcterms:modified xsi:type="dcterms:W3CDTF">2021-02-26T06:57:27Z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